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 xml:space="preserve">SUGAR GLIDER HABITAT</w:t>
      </w:r>
    </w:p>
    <w:p>
      <w:pPr>
        <w:spacing w:after="1440"/>
        <w:jc w:val="center"/>
      </w:pPr>
      <w:r>
        <w:rPr>
          <w:color w:val="2d5a8c"/>
          <w:sz w:val="28"/>
          <w:szCs w:val="28"/>
        </w:rPr>
        <w:t xml:space="preserve">Professional Build Specification &amp; Execution Plan</w:t>
      </w:r>
    </w:p>
    <w:p>
      <w:pPr>
        <w:spacing w:after="2880"/>
        <w:jc w:val="center"/>
      </w:pPr>
      <w:r>
        <w:rPr>
          <w:color w:val="666666"/>
          <w:sz w:val="24"/>
          <w:szCs w:val="24"/>
        </w:rPr>
        <w:t xml:space="preserve">Executive Edition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for: Mista Boo</w:t>
      </w:r>
    </w:p>
    <w:p>
      <w:pPr>
        <w:spacing w:after="2880"/>
        <w:jc w:val="center"/>
      </w:pPr>
      <w:r>
        <w:rPr>
          <w:sz w:val="22"/>
          <w:szCs w:val="22"/>
        </w:rPr>
        <w:t xml:space="preserve">Fenix Digital Enterprise LLC</w:t>
      </w:r>
    </w:p>
    <w:p>
      <w:pPr>
        <w:jc w:val="center"/>
      </w:pPr>
      <w:r>
        <w:rPr>
          <w:color w:val="999999"/>
          <w:sz w:val="20"/>
          <w:szCs w:val="20"/>
        </w:rPr>
        <w:t xml:space="preserve">July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outlines the complete technical specification and construction methodology for a professional-grade Sugar Glider habitat utilizing standard PVC materials, plastic mesh screening, and electrical fasteners.</w:t>
      </w:r>
    </w:p>
    <w:p>
      <w:pPr>
        <w:pStyle w:val="Heading2"/>
      </w:pPr>
      <w:r>
        <w:t xml:space="preserve">Key Performance Indicators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Assembly Time: 120 minutes (2 hours)</w:t>
      </w:r>
    </w:p>
    <w:p>
      <w:pPr>
        <w:pStyle w:val="ListParagraph"/>
        <w:numPr>
          <w:ilvl w:val="0"/>
          <w:numId w:val="2"/>
        </w:numPr>
        <w:spacing w:after="120"/>
      </w:pPr>
      <w:r>
        <w:t>Dimensions: 55⅜" (L) × 36⅞" (W) × 54" (H) – optimal for 2-3 sugar gliders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Structural Integrity: Dual-layer bracing for maximum rigidity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Escape Prevention: 100% sealed construction with overlapped mesh</w:t>
      </w:r>
    </w:p>
    <w:p>
      <w:pPr>
        <w:pStyle w:val="Heading1"/>
      </w:pPr>
      <w:r>
        <w:t xml:space="preserve">Materials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PVC Pipe (2")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54"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posts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PVC Pipe (1.5")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55⅜" &amp; 36⅞"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Plastic Mesh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 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walls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 Ties (8")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pieces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fastening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Safety &amp; Compliance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Non-toxic materials (medical-grade PVC)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sharp edges (all cuts sanded smooth)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100% escape-proof (all gaps sealed)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Optimal ventilation (open top design)</w:t>
      </w:r>
    </w:p>
    <w:p>
      <w:pPr>
        <w:spacing w:before="1440"/>
        <w:jc w:val="center"/>
      </w:pPr>
      <w:r>
        <w:rPr>
          <w:color w:val="2d5a8c"/>
        </w:rPr>
        <w:t xml:space="preserve">━━━━━━━━━━━━━━━━━━━━━━━━━━━━━━━━━</w:t>
      </w:r>
    </w:p>
    <w:p>
      <w:pPr>
        <w:jc w:val="center"/>
      </w:pPr>
      <w:r>
        <w:rPr>
          <w:b/>
          <w:bCs/>
          <w:color w:val="1e3a5f"/>
          <w:sz w:val="18"/>
          <w:szCs w:val="18"/>
        </w:rPr>
        <w:t xml:space="preserve">EXECUTIVE SPECIFICATION | Fenix Digital Enterprise LLC |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2d5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2026-07-07T03:35:32.772Z</dcterms:created>
  <dcterms:modified xsi:type="dcterms:W3CDTF">2026-07-07T03:35:32.772Z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