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120"/>
        <w:jc w:val="center"/>
      </w:pPr>
      <w:r>
        <w:rPr>
          <w:b/>
          <w:bCs/>
          <w:color w:val="1e3a5f"/>
          <w:sz w:val="48"/>
          <w:szCs w:val="48"/>
        </w:rPr>
        <w:t xml:space="preserve">SUGAR GLIDER HABITAT</w:t>
      </w:r>
    </w:p>
    <w:p>
      <w:pPr>
        <w:spacing w:after="1440"/>
        <w:jc w:val="center"/>
      </w:pPr>
      <w:r>
        <w:rPr>
          <w:color w:val="2d5a8c"/>
          <w:sz w:val="28"/>
          <w:szCs w:val="28"/>
        </w:rPr>
        <w:t xml:space="preserve">Professional Build Specification &amp; Execution Plan</w:t>
      </w:r>
    </w:p>
    <w:p>
      <w:pPr>
        <w:spacing w:after="2880"/>
        <w:jc w:val="center"/>
      </w:pPr>
      <w:r>
        <w:rPr>
          <w:color w:val="666666"/>
          <w:sz w:val="24"/>
          <w:szCs w:val="24"/>
        </w:rPr>
        <w:t xml:space="preserve">Executive Edition</w:t>
      </w:r>
    </w:p>
    <w:p>
      <w:pPr>
        <w:spacing w:after="120"/>
        <w:jc w:val="center"/>
      </w:pPr>
      <w:r>
        <w:rPr>
          <w:sz w:val="22"/>
          <w:szCs w:val="22"/>
        </w:rPr>
        <w:t xml:space="preserve">Prepared for: Mista Boo</w:t>
      </w:r>
    </w:p>
    <w:p>
      <w:pPr>
        <w:spacing w:after="2880"/>
        <w:jc w:val="center"/>
      </w:pPr>
      <w:r>
        <w:rPr>
          <w:sz w:val="22"/>
          <w:szCs w:val="22"/>
        </w:rPr>
        <w:t xml:space="preserve">Fenix Digital Enterprise LLC</w:t>
      </w:r>
    </w:p>
    <w:p>
      <w:pPr>
        <w:jc w:val="center"/>
      </w:pPr>
      <w:r>
        <w:rPr>
          <w:color w:val="999999"/>
          <w:sz w:val="20"/>
          <w:szCs w:val="20"/>
        </w:rPr>
        <w:t xml:space="preserve">July 2026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Executive Summary</w:t>
      </w:r>
    </w:p>
    <w:p>
      <w:pPr>
        <w:spacing w:after="240"/>
      </w:pPr>
      <w:r>
        <w:t xml:space="preserve">This document outlines the complete technical specification and construction methodology for a professional-grade Sugar Glider habitat utilizing standard PVC materials, plastic mesh screening, and electrical fasteners.</w:t>
      </w:r>
    </w:p>
    <w:p>
      <w:pPr>
        <w:pStyle w:val="Heading2"/>
      </w:pPr>
      <w:r>
        <w:t xml:space="preserve">Key Performance Indicators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Assembly Time: 120 minutes (2 hours)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Dimensions: 48" (L) × 32" (W) × 32" (H) – optimal for 2-3 sugar gliders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Structural Integrity: Dual-layer bracing for maximum rigidity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Escape Prevention: 100% sealed construction with overlapped mesh</w:t>
      </w:r>
    </w:p>
    <w:p>
      <w:pPr>
        <w:pStyle w:val="Heading1"/>
      </w:pPr>
      <w:r>
        <w:t xml:space="preserve">Materials Specification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340"/>
        <w:gridCol w:w="31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Material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Size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PVC Pipe (2")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32" each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Vertical posts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PVC Pipe (1.5")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48" &amp; 32"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Horizontal frame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Plastic Mesh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~70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 ft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walls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Zip Ties (8")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80-100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pieces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Mesh fastening</w:t>
            </w:r>
          </w:p>
        </w:tc>
      </w:tr>
    </w:tbl>
    <w:p>
      <w:pPr>
        <w:spacing w:after="240"/>
      </w:pPr>
    </w:p>
    <w:p>
      <w:pPr>
        <w:pStyle w:val="Heading1"/>
      </w:pPr>
      <w:r>
        <w:t xml:space="preserve">Safety &amp; Compliance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Non-toxic materials (medical-grade PVC)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No sharp edges (all cuts sanded smooth)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100% escape-proof (all gaps sealed)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Optimal ventilation (open top design)</w:t>
      </w:r>
    </w:p>
    <w:p>
      <w:pPr>
        <w:spacing w:before="1440"/>
        <w:jc w:val="center"/>
      </w:pPr>
      <w:r>
        <w:rPr>
          <w:color w:val="2d5a8c"/>
        </w:rPr>
        <w:t xml:space="preserve">━━━━━━━━━━━━━━━━━━━━━━━━━━━━━━━━━</w:t>
      </w:r>
    </w:p>
    <w:p>
      <w:pPr>
        <w:jc w:val="center"/>
      </w:pPr>
      <w:r>
        <w:rPr>
          <w:b/>
          <w:bCs/>
          <w:color w:val="1e3a5f"/>
          <w:sz w:val="18"/>
          <w:szCs w:val="18"/>
        </w:rPr>
        <w:t xml:space="preserve">EXECUTIVE SPECIFICATION | Fenix Digital Enterprise LLC | July 2026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20" w:before="240"/>
      <w:outlineLvl w:val="0"/>
    </w:pPr>
    <w:rPr>
      <w:rFonts w:ascii="Calibri" w:cs="Calibri" w:eastAsia="Calibri" w:hAnsi="Calibri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pPr>
      <w:spacing w:after="100" w:before="180"/>
      <w:outlineLvl w:val="1"/>
    </w:pPr>
    <w:rPr>
      <w:rFonts w:ascii="Calibri" w:cs="Calibri" w:eastAsia="Calibri" w:hAnsi="Calibri"/>
      <w:b/>
      <w:bCs/>
      <w:color w:val="2d5a8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2026-07-07T03:35:32.772Z</dcterms:created>
  <dcterms:modified xsi:type="dcterms:W3CDTF">2026-07-07T03:35:32.772Z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