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mbria" w:cs="Cambria" w:eastAsia="Cambria" w:hAnsi="Cambria"/>
          <w:color w:val="5A5A5A"/>
          <w:spacing w:val="20"/>
          <w:sz w:val="26"/>
          <w:szCs w:val="26"/>
        </w:rPr>
        <w:t xml:space="preserve">REGULATORY &amp; FUND-INFORMATION</w:t>
      </w:r>
    </w:p>
    <w:p>
      <w:pPr>
        <w:spacing w:after="300" w:before="60"/>
        <w:jc w:val="center"/>
      </w:pPr>
      <w:r>
        <w:rPr>
          <w:rFonts w:ascii="Cambria" w:cs="Cambria" w:eastAsia="Cambria" w:hAnsi="Cambria"/>
          <w:color w:val="5A5A5A"/>
          <w:spacing w:val="20"/>
          <w:sz w:val="26"/>
          <w:szCs w:val="26"/>
        </w:rPr>
        <w:t xml:space="preserve">AI ASSISTANT — TECHNICAL PROPOSAL</w:t>
      </w:r>
    </w:p>
    <w:p>
      <w:pPr>
        <w:spacing w:before="400"/>
        <w:jc w:val="center"/>
      </w:pPr>
      <w:r>
        <w:rPr>
          <w:rFonts w:ascii="Calibri" w:cs="Calibri" w:eastAsia="Calibri" w:hAnsi="Calibri"/>
          <w:color w:val="333333"/>
          <w:sz w:val="24"/>
          <w:szCs w:val="24"/>
        </w:rPr>
        <w:t xml:space="preserve">Prepared for [COMPANY NAME]</w:t>
      </w:r>
    </w:p>
    <w:p>
      <w:pPr>
        <w:spacing w:before="800"/>
        <w:jc w:val="center"/>
      </w:pPr>
      <w:r>
        <w:rPr>
          <w:rFonts w:ascii="Calibri" w:cs="Calibri" w:eastAsia="Calibri" w:hAnsi="Calibri"/>
          <w:i/>
          <w:iCs/>
          <w:color w:val="5A5A5A"/>
          <w:sz w:val="22"/>
          <w:szCs w:val="22"/>
        </w:rPr>
        <w:t xml:space="preserve">An LLM / Retrieval-Augmented Generation assistant for compliance, admin, and investor-relations staff — built entirely on public, official regulatory sources, with zero internal data or system access required.</w:t>
      </w:r>
    </w:p>
    <w:p>
      <w:pPr>
        <w:spacing w:before="3600"/>
      </w:pPr>
    </w:p>
    <w:p>
      <w:pPr>
        <w:pBdr>
          <w:top w:val="single" w:color="1E2761" w:sz="6" w:space="8"/>
        </w:pBdr>
        <w:jc w:val="center"/>
      </w:pPr>
      <w:r>
        <w:rPr>
          <w:sz w:val="2"/>
          <w:szCs w:val="2"/>
        </w:rPr>
        <w:t xml:space="preserve"> </w:t>
      </w:r>
    </w:p>
    <w:p>
      <w:pPr>
        <w:spacing w:before="200"/>
        <w:jc w:val="center"/>
      </w:pPr>
      <w:r>
        <w:rPr>
          <w:rFonts w:ascii="Calibri" w:cs="Calibri" w:eastAsia="Calibri" w:hAnsi="Calibri"/>
          <w:color w:val="5A5A5A"/>
          <w:sz w:val="20"/>
          <w:szCs w:val="20"/>
        </w:rPr>
        <w:t xml:space="preserve">Prepared by: Automation Consulting</w:t>
      </w:r>
    </w:p>
    <w:p>
      <w:pPr>
        <w:spacing w:before="60"/>
        <w:jc w:val="center"/>
      </w:pPr>
      <w:r>
        <w:rPr>
          <w:rFonts w:ascii="Calibri" w:cs="Calibri" w:eastAsia="Calibri" w:hAnsi="Calibri"/>
          <w:color w:val="5A5A5A"/>
          <w:sz w:val="18"/>
          <w:szCs w:val="18"/>
        </w:rPr>
        <w:t xml:space="preserve">Document version 1.0  •  Confidential draft for internal review</w:t>
      </w:r>
    </w:p>
    <w:p>
      <w:pPr>
        <w:sectPr>
          <w:pgSz w:w="12240" w:h="15840" w:orient="portrait"/>
          <w:pgMar w:top="1440" w:right="1440" w:bottom="1440" w:left="1440" w:header="708" w:footer="708" w:gutter="0"/>
          <w:pgNumType/>
          <w:docGrid w:linePitch="360"/>
        </w:sectPr>
      </w:pPr>
    </w:p>
    <w:p>
      <w:pPr>
        <w:pStyle w:val="Heading1"/>
      </w:pPr>
      <w:r>
        <w:rPr>
          <w:rFonts w:ascii="Cambria" w:cs="Cambria" w:eastAsia="Cambria" w:hAnsi="Cambria"/>
          <w:b/>
          <w:bCs/>
          <w:color w:val="1E2761"/>
          <w:sz w:val="30"/>
          <w:szCs w:val="30"/>
        </w:rPr>
        <w:t xml:space="preserve">Table of Contents</w:t>
      </w:r>
    </w:p>
    <w:p>
      <w:pPr>
        <w:spacing w:after="140"/>
      </w:pPr>
      <w:r>
        <w:rPr>
          <w:rFonts w:ascii="Calibri" w:cs="Calibri" w:eastAsia="Calibri" w:hAnsi="Calibri"/>
          <w:color w:val="333333"/>
          <w:sz w:val="23"/>
          <w:szCs w:val="23"/>
        </w:rPr>
        <w:t xml:space="preserve">1. Executive Summary</w:t>
      </w:r>
    </w:p>
    <w:p>
      <w:pPr>
        <w:spacing w:after="140"/>
      </w:pPr>
      <w:r>
        <w:rPr>
          <w:rFonts w:ascii="Calibri" w:cs="Calibri" w:eastAsia="Calibri" w:hAnsi="Calibri"/>
          <w:color w:val="333333"/>
          <w:sz w:val="23"/>
          <w:szCs w:val="23"/>
        </w:rPr>
        <w:t xml:space="preserve">2. Problem Statement</w:t>
      </w:r>
    </w:p>
    <w:p>
      <w:pPr>
        <w:spacing w:after="140"/>
      </w:pPr>
      <w:r>
        <w:rPr>
          <w:rFonts w:ascii="Calibri" w:cs="Calibri" w:eastAsia="Calibri" w:hAnsi="Calibri"/>
          <w:color w:val="333333"/>
          <w:sz w:val="23"/>
          <w:szCs w:val="23"/>
        </w:rPr>
        <w:t xml:space="preserve">3. Proposed Solution Overview</w:t>
      </w:r>
    </w:p>
    <w:p>
      <w:pPr>
        <w:spacing w:after="140"/>
      </w:pPr>
      <w:r>
        <w:rPr>
          <w:rFonts w:ascii="Calibri" w:cs="Calibri" w:eastAsia="Calibri" w:hAnsi="Calibri"/>
          <w:color w:val="333333"/>
          <w:sz w:val="23"/>
          <w:szCs w:val="23"/>
        </w:rPr>
        <w:t xml:space="preserve">4. Phase 1 — Core Assistant</w:t>
      </w:r>
    </w:p>
    <w:p>
      <w:pPr>
        <w:spacing w:after="140"/>
      </w:pPr>
      <w:r>
        <w:rPr>
          <w:rFonts w:ascii="Calibri" w:cs="Calibri" w:eastAsia="Calibri" w:hAnsi="Calibri"/>
          <w:color w:val="333333"/>
          <w:sz w:val="23"/>
          <w:szCs w:val="23"/>
        </w:rPr>
        <w:t xml:space="preserve">5. Phase 2 — Expansion</w:t>
      </w:r>
    </w:p>
    <w:p>
      <w:pPr>
        <w:spacing w:after="140"/>
      </w:pPr>
      <w:r>
        <w:rPr>
          <w:rFonts w:ascii="Calibri" w:cs="Calibri" w:eastAsia="Calibri" w:hAnsi="Calibri"/>
          <w:color w:val="333333"/>
          <w:sz w:val="23"/>
          <w:szCs w:val="23"/>
        </w:rPr>
        <w:t xml:space="preserve">6. Data Security &amp; Governance</w:t>
      </w:r>
    </w:p>
    <w:p>
      <w:pPr>
        <w:spacing w:after="140"/>
      </w:pPr>
      <w:r>
        <w:rPr>
          <w:rFonts w:ascii="Calibri" w:cs="Calibri" w:eastAsia="Calibri" w:hAnsi="Calibri"/>
          <w:color w:val="333333"/>
          <w:sz w:val="23"/>
          <w:szCs w:val="23"/>
        </w:rPr>
        <w:t xml:space="preserve">7. Deliverables &amp; Approval Path</w:t>
      </w:r>
    </w:p>
    <w:p>
      <w:pPr>
        <w:spacing w:after="140"/>
      </w:pPr>
      <w:r>
        <w:rPr>
          <w:rFonts w:ascii="Calibri" w:cs="Calibri" w:eastAsia="Calibri" w:hAnsi="Calibri"/>
          <w:color w:val="333333"/>
          <w:sz w:val="23"/>
          <w:szCs w:val="23"/>
        </w:rPr>
        <w:t xml:space="preserve">8. Appendix: Glossary</w:t>
      </w:r>
    </w:p>
    <w:p>
      <w:r>
        <w:br w:type="page"/>
      </w:r>
    </w:p>
    <w:p>
      <w:pPr>
        <w:pStyle w:val="Heading1"/>
        <w:spacing w:after="200" w:before="400"/>
      </w:pPr>
      <w:r>
        <w:rPr>
          <w:rFonts w:ascii="Cambria" w:cs="Cambria" w:eastAsia="Cambria" w:hAnsi="Cambria"/>
          <w:b/>
          <w:bCs/>
          <w:color w:val="1E2761"/>
          <w:sz w:val="30"/>
          <w:szCs w:val="30"/>
        </w:rPr>
        <w:t xml:space="preserve">1. Executive Summary</w:t>
      </w:r>
    </w:p>
    <w:p>
      <w:pPr>
        <w:spacing w:after="160" w:line="276"/>
      </w:pPr>
      <w:r>
        <w:rPr>
          <w:rFonts w:ascii="Calibri" w:cs="Calibri" w:eastAsia="Calibri" w:hAnsi="Calibri"/>
          <w:color w:val="333333"/>
          <w:sz w:val="22"/>
          <w:szCs w:val="22"/>
        </w:rPr>
        <w:t xml:space="preserve">[COMPANY NAME]'s compliance, admin, and investor-relations teams currently track regulatory and fund-related updates manually — reading SECP circulars, national regulator notices, and the company's own public disclosures as they are published. This is time-consuming and creates risk: a relevant update can be missed or acted on late.</w:t>
      </w:r>
    </w:p>
    <w:p>
      <w:pPr>
        <w:spacing w:after="160" w:line="276"/>
      </w:pPr>
      <w:r>
        <w:rPr>
          <w:rFonts w:ascii="Calibri" w:cs="Calibri" w:eastAsia="Calibri" w:hAnsi="Calibri"/>
          <w:color w:val="333333"/>
          <w:sz w:val="22"/>
          <w:szCs w:val="22"/>
        </w:rPr>
        <w:t xml:space="preserve">This proposal introduces an AI assistant that reads only from a whitelist of public, official sources and answers staff questions in plain language, with a citation back to the exact source document for every answer. Because every source is already public, the assistant requires no access to [COMPANY NAME]'s internal documents, CRM, recordings, or reporting systems at any stage.</w:t>
      </w:r>
    </w:p>
    <w:p>
      <w:pPr>
        <w:spacing w:after="160" w:line="276"/>
      </w:pPr>
      <w:r>
        <w:rPr>
          <w:rFonts w:ascii="Calibri" w:cs="Calibri" w:eastAsia="Calibri" w:hAnsi="Calibri"/>
          <w:color w:val="333333"/>
          <w:sz w:val="22"/>
          <w:szCs w:val="22"/>
        </w:rPr>
        <w:t xml:space="preserve">The project is scoped in two phases:</w:t>
      </w:r>
    </w:p>
    <w:tbl>
      <w:tblPr>
        <w:tblW w:type="pct" w:w="100%"/>
        <w:tblBorders>
          <w:top w:val="single" w:color="1E2761" w:sz="4"/>
          <w:left w:val="single" w:color="1E2761" w:sz="4"/>
          <w:bottom w:val="single" w:color="1E2761" w:sz="4"/>
          <w:right w:val="single" w:color="1E2761" w:sz="4"/>
          <w:insideH w:val="none" w:color="FFFFFF" w:sz="0"/>
          <w:insideV w:val="none" w:color="FFFFFF" w:sz="0"/>
        </w:tblBorders>
      </w:tblPr>
      <w:tblGrid>
        <w:gridCol w:w="100"/>
      </w:tblGrid>
      <w:tr>
        <w:tc>
          <w:tcPr>
            <w:shd w:fill="F4F6FB" w:color="auto" w:val="clear"/>
            <w:tcMar>
              <w:top w:type="dxa" w:w="160"/>
              <w:left w:type="dxa" w:w="200"/>
              <w:bottom w:type="dxa" w:w="160"/>
              <w:right w:type="dxa" w:w="200"/>
            </w:tcMar>
          </w:tcPr>
          <w:p>
            <w:pPr>
              <w:spacing w:after="80"/>
            </w:pPr>
            <w:r>
              <w:rPr>
                <w:rFonts w:ascii="Calibri" w:cs="Calibri" w:eastAsia="Calibri" w:hAnsi="Calibri"/>
                <w:b/>
                <w:bCs/>
                <w:color w:val="1E2761"/>
                <w:sz w:val="22"/>
                <w:szCs w:val="22"/>
              </w:rPr>
              <w:t xml:space="preserve">Phase 1 — Core Assistant (proposed for immediate build)</w:t>
            </w:r>
          </w:p>
          <w:p>
            <w:pPr>
              <w:spacing w:after="40"/>
            </w:pPr>
            <w:r>
              <w:rPr>
                <w:rFonts w:ascii="Calibri" w:cs="Calibri" w:eastAsia="Calibri" w:hAnsi="Calibri"/>
                <w:color w:val="333333"/>
                <w:sz w:val="20"/>
                <w:szCs w:val="20"/>
              </w:rPr>
              <w:t xml:space="preserve">•  Chat-based question-and-answer assistant for internal staff use</w:t>
            </w:r>
          </w:p>
          <w:p>
            <w:pPr>
              <w:spacing w:after="40"/>
            </w:pPr>
            <w:r>
              <w:rPr>
                <w:rFonts w:ascii="Calibri" w:cs="Calibri" w:eastAsia="Calibri" w:hAnsi="Calibri"/>
                <w:color w:val="333333"/>
                <w:sz w:val="20"/>
                <w:szCs w:val="20"/>
              </w:rPr>
              <w:t xml:space="preserve">•  Answers are grounded in, and cited to, the whitelisted public sources only</w:t>
            </w:r>
          </w:p>
          <w:p>
            <w:pPr>
              <w:spacing w:after="40"/>
            </w:pPr>
            <w:r>
              <w:rPr>
                <w:rFonts w:ascii="Calibri" w:cs="Calibri" w:eastAsia="Calibri" w:hAnsi="Calibri"/>
                <w:color w:val="333333"/>
                <w:sz w:val="20"/>
                <w:szCs w:val="20"/>
              </w:rPr>
              <w:t xml:space="preserve">•  Session-only memory — no personalization or usage data is stored</w:t>
            </w:r>
          </w:p>
        </w:tc>
      </w:tr>
    </w:tbl>
    <w:p>
      <w:pPr>
        <w:spacing w:after="0" w:before="200"/>
      </w:pPr>
    </w:p>
    <w:tbl>
      <w:tblPr>
        <w:tblW w:type="pct" w:w="100%"/>
        <w:tblBorders>
          <w:top w:val="single" w:color="2C6E49" w:sz="4"/>
          <w:left w:val="single" w:color="2C6E49" w:sz="4"/>
          <w:bottom w:val="single" w:color="2C6E49" w:sz="4"/>
          <w:right w:val="single" w:color="2C6E49" w:sz="4"/>
          <w:insideH w:val="none" w:color="FFFFFF" w:sz="0"/>
          <w:insideV w:val="none" w:color="FFFFFF" w:sz="0"/>
        </w:tblBorders>
      </w:tblPr>
      <w:tblGrid>
        <w:gridCol w:w="100"/>
      </w:tblGrid>
      <w:tr>
        <w:tc>
          <w:tcPr>
            <w:shd w:fill="F4F6FB" w:color="auto" w:val="clear"/>
            <w:tcMar>
              <w:top w:type="dxa" w:w="160"/>
              <w:left w:type="dxa" w:w="200"/>
              <w:bottom w:type="dxa" w:w="160"/>
              <w:right w:type="dxa" w:w="200"/>
            </w:tcMar>
          </w:tcPr>
          <w:p>
            <w:pPr>
              <w:spacing w:after="80"/>
            </w:pPr>
            <w:r>
              <w:rPr>
                <w:rFonts w:ascii="Calibri" w:cs="Calibri" w:eastAsia="Calibri" w:hAnsi="Calibri"/>
                <w:b/>
                <w:bCs/>
                <w:color w:val="2C6E49"/>
                <w:sz w:val="22"/>
                <w:szCs w:val="22"/>
              </w:rPr>
              <w:t xml:space="preserve">Phase 2 — Expansion (proposed after Phase 1 is approved and live)</w:t>
            </w:r>
          </w:p>
          <w:p>
            <w:pPr>
              <w:spacing w:after="40"/>
            </w:pPr>
            <w:r>
              <w:rPr>
                <w:rFonts w:ascii="Calibri" w:cs="Calibri" w:eastAsia="Calibri" w:hAnsi="Calibri"/>
                <w:color w:val="333333"/>
                <w:sz w:val="20"/>
                <w:szCs w:val="20"/>
              </w:rPr>
              <w:t xml:space="preserve">•  Wider source coverage and automated compliance alerts</w:t>
            </w:r>
          </w:p>
          <w:p>
            <w:pPr>
              <w:spacing w:after="40"/>
            </w:pPr>
            <w:r>
              <w:rPr>
                <w:rFonts w:ascii="Calibri" w:cs="Calibri" w:eastAsia="Calibri" w:hAnsi="Calibri"/>
                <w:color w:val="333333"/>
                <w:sz w:val="20"/>
                <w:szCs w:val="20"/>
              </w:rPr>
              <w:t xml:space="preserve">•  A public-facing chatbot for retail investors, built on already-public disclosures</w:t>
            </w:r>
          </w:p>
          <w:p>
            <w:pPr>
              <w:spacing w:after="40"/>
            </w:pPr>
            <w:r>
              <w:rPr>
                <w:rFonts w:ascii="Calibri" w:cs="Calibri" w:eastAsia="Calibri" w:hAnsi="Calibri"/>
                <w:color w:val="333333"/>
                <w:sz w:val="20"/>
                <w:szCs w:val="20"/>
              </w:rPr>
              <w:t xml:space="preserve">•  Staff personalization that improves with use, plus one-click email/report drafting</w:t>
            </w:r>
          </w:p>
        </w:tc>
      </w:tr>
    </w:tbl>
    <w:p>
      <w:pPr>
        <w:spacing w:after="160" w:line="276"/>
      </w:pPr>
      <w:r>
        <w:rPr>
          <w:rFonts w:ascii="Calibri" w:cs="Calibri" w:eastAsia="Calibri" w:hAnsi="Calibri"/>
          <w:color w:val="333333"/>
          <w:sz w:val="22"/>
          <w:szCs w:val="22"/>
        </w:rPr>
        <w:t xml:space="preserve">Any future phase that would touch internal company data or systems is explicitly excluded from this proposal and would require a separate discussion and separate approval.</w:t>
      </w:r>
    </w:p>
    <w:p>
      <w:pPr>
        <w:pStyle w:val="Heading1"/>
        <w:spacing w:after="200" w:before="400"/>
      </w:pPr>
      <w:r>
        <w:rPr>
          <w:rFonts w:ascii="Cambria" w:cs="Cambria" w:eastAsia="Cambria" w:hAnsi="Cambria"/>
          <w:b/>
          <w:bCs/>
          <w:color w:val="1E2761"/>
          <w:sz w:val="30"/>
          <w:szCs w:val="30"/>
        </w:rPr>
        <w:t xml:space="preserve">2. Problem Statement</w:t>
      </w:r>
    </w:p>
    <w:p>
      <w:pPr>
        <w:spacing w:after="160" w:line="276"/>
      </w:pPr>
      <w:r>
        <w:rPr>
          <w:rFonts w:ascii="Calibri" w:cs="Calibri" w:eastAsia="Calibri" w:hAnsi="Calibri"/>
          <w:color w:val="333333"/>
          <w:sz w:val="22"/>
          <w:szCs w:val="22"/>
        </w:rPr>
        <w:t xml:space="preserve">Regulatory and fund-related information relevant to [COMPANY NAME] is published across several public channels: SECP circulars, notices from other national regulators, and [COMPANY NAME]'s own disclosures. Today, staying current requires staff to manually monitor these sources, read lengthy PDFs, and cross-check whether a new circular affects their reporting obligations.</w:t>
      </w:r>
    </w:p>
    <w:p>
      <w:pPr>
        <w:spacing w:after="160" w:line="276"/>
      </w:pPr>
      <w:r>
        <w:rPr>
          <w:rFonts w:ascii="Calibri" w:cs="Calibri" w:eastAsia="Calibri" w:hAnsi="Calibri"/>
          <w:color w:val="333333"/>
          <w:sz w:val="22"/>
          <w:szCs w:val="22"/>
        </w:rPr>
        <w:t xml:space="preserve">This manual process has three recurring costs:</w:t>
      </w:r>
    </w:p>
    <w:p>
      <w:pPr>
        <w:pStyle w:val="ListParagraph"/>
        <w:numPr>
          <w:ilvl w:val="0"/>
          <w:numId w:val="2"/>
        </w:numPr>
        <w:spacing w:after="90"/>
      </w:pPr>
      <w:r>
        <w:rPr>
          <w:rFonts w:ascii="Calibri" w:cs="Calibri" w:eastAsia="Calibri" w:hAnsi="Calibri"/>
          <w:color w:val="333333"/>
          <w:sz w:val="22"/>
          <w:szCs w:val="22"/>
        </w:rPr>
        <w:t xml:space="preserve">Time cost — staff spend hours searching and reading documents that an assistant could summarize in seconds.</w:t>
      </w:r>
    </w:p>
    <w:p>
      <w:pPr>
        <w:pStyle w:val="ListParagraph"/>
        <w:numPr>
          <w:ilvl w:val="0"/>
          <w:numId w:val="2"/>
        </w:numPr>
        <w:spacing w:after="90"/>
      </w:pPr>
      <w:r>
        <w:rPr>
          <w:rFonts w:ascii="Calibri" w:cs="Calibri" w:eastAsia="Calibri" w:hAnsi="Calibri"/>
          <w:color w:val="333333"/>
          <w:sz w:val="22"/>
          <w:szCs w:val="22"/>
        </w:rPr>
        <w:t xml:space="preserve">Consistency risk — different staff may interpret or locate the same circular differently, or miss it entirely.</w:t>
      </w:r>
    </w:p>
    <w:p>
      <w:pPr>
        <w:pStyle w:val="ListParagraph"/>
        <w:numPr>
          <w:ilvl w:val="0"/>
          <w:numId w:val="2"/>
        </w:numPr>
        <w:spacing w:after="90"/>
      </w:pPr>
      <w:r>
        <w:rPr>
          <w:rFonts w:ascii="Calibri" w:cs="Calibri" w:eastAsia="Calibri" w:hAnsi="Calibri"/>
          <w:color w:val="333333"/>
          <w:sz w:val="22"/>
          <w:szCs w:val="22"/>
        </w:rPr>
        <w:t xml:space="preserve">Traceability gap — when an answer is needed for an audit or investor query, staff must re-locate the original source manually.</w:t>
      </w:r>
    </w:p>
    <w:p>
      <w:pPr>
        <w:spacing w:after="160" w:line="276"/>
      </w:pPr>
      <w:r>
        <w:rPr>
          <w:rFonts w:ascii="Calibri" w:cs="Calibri" w:eastAsia="Calibri" w:hAnsi="Calibri"/>
          <w:color w:val="333333"/>
          <w:sz w:val="22"/>
          <w:szCs w:val="22"/>
        </w:rPr>
        <w:t xml:space="preserve">An AI assistant that indexes these public sources and answers in plain language, with citations, addresses all three directly, without requiring any change to internal systems or any handling of internal data.</w:t>
      </w:r>
    </w:p>
    <w:p>
      <w:pPr>
        <w:pStyle w:val="Heading1"/>
        <w:spacing w:after="200" w:before="400"/>
      </w:pPr>
      <w:r>
        <w:rPr>
          <w:rFonts w:ascii="Cambria" w:cs="Cambria" w:eastAsia="Cambria" w:hAnsi="Cambria"/>
          <w:b/>
          <w:bCs/>
          <w:color w:val="1E2761"/>
          <w:sz w:val="30"/>
          <w:szCs w:val="30"/>
        </w:rPr>
        <w:t xml:space="preserve">3. Proposed Solution Overview</w:t>
      </w:r>
    </w:p>
    <w:p>
      <w:pPr>
        <w:spacing w:after="160" w:line="276"/>
      </w:pPr>
      <w:r>
        <w:rPr>
          <w:rFonts w:ascii="Calibri" w:cs="Calibri" w:eastAsia="Calibri" w:hAnsi="Calibri"/>
          <w:color w:val="333333"/>
          <w:sz w:val="22"/>
          <w:szCs w:val="22"/>
        </w:rPr>
        <w:t xml:space="preserve">The assistant is a retrieval-augmented generation (RAG) system. Rather than relying on a language model's general knowledge, it retrieves the most relevant passages from an indexed set of official documents and generates its answer strictly from those passages — with a citation to the source for every claim. This keeps answers accurate, current, and verifiable.</w:t>
      </w:r>
    </w:p>
    <w:p>
      <w:pPr>
        <w:pStyle w:val="Heading3"/>
        <w:spacing w:after="100" w:before="200"/>
      </w:pPr>
      <w:r>
        <w:rPr>
          <w:rFonts w:ascii="Calibri" w:cs="Calibri" w:eastAsia="Calibri" w:hAnsi="Calibri"/>
          <w:b/>
          <w:bCs/>
          <w:color w:val="333333"/>
          <w:sz w:val="22"/>
          <w:szCs w:val="22"/>
        </w:rPr>
        <w:t xml:space="preserve">How it works, end to end</w:t>
      </w:r>
    </w:p>
    <w:p>
      <w:pPr>
        <w:pStyle w:val="ListParagraph"/>
        <w:numPr>
          <w:ilvl w:val="0"/>
          <w:numId w:val="2"/>
        </w:numPr>
        <w:spacing w:after="90"/>
      </w:pPr>
      <w:r>
        <w:rPr>
          <w:rFonts w:ascii="Calibri" w:cs="Calibri" w:eastAsia="Calibri" w:hAnsi="Calibri"/>
          <w:color w:val="333333"/>
          <w:sz w:val="22"/>
          <w:szCs w:val="22"/>
        </w:rPr>
        <w:t xml:space="preserve">A scheduled crawler checks the approved source list for new or updated pages and PDFs.</w:t>
      </w:r>
    </w:p>
    <w:p>
      <w:pPr>
        <w:pStyle w:val="ListParagraph"/>
        <w:numPr>
          <w:ilvl w:val="0"/>
          <w:numId w:val="2"/>
        </w:numPr>
        <w:spacing w:after="90"/>
      </w:pPr>
      <w:r>
        <w:rPr>
          <w:rFonts w:ascii="Calibri" w:cs="Calibri" w:eastAsia="Calibri" w:hAnsi="Calibri"/>
          <w:color w:val="333333"/>
          <w:sz w:val="22"/>
          <w:szCs w:val="22"/>
        </w:rPr>
        <w:t xml:space="preserve">New documents are parsed into clean text and split into manageable chunks.</w:t>
      </w:r>
    </w:p>
    <w:p>
      <w:pPr>
        <w:pStyle w:val="ListParagraph"/>
        <w:numPr>
          <w:ilvl w:val="0"/>
          <w:numId w:val="2"/>
        </w:numPr>
        <w:spacing w:after="90"/>
      </w:pPr>
      <w:r>
        <w:rPr>
          <w:rFonts w:ascii="Calibri" w:cs="Calibri" w:eastAsia="Calibri" w:hAnsi="Calibri"/>
          <w:color w:val="333333"/>
          <w:sz w:val="22"/>
          <w:szCs w:val="22"/>
        </w:rPr>
        <w:t xml:space="preserve">Each chunk is converted into a numerical representation (an "embedding") and stored in a vector database.</w:t>
      </w:r>
    </w:p>
    <w:p>
      <w:pPr>
        <w:pStyle w:val="ListParagraph"/>
        <w:numPr>
          <w:ilvl w:val="0"/>
          <w:numId w:val="2"/>
        </w:numPr>
        <w:spacing w:after="90"/>
      </w:pPr>
      <w:r>
        <w:rPr>
          <w:rFonts w:ascii="Calibri" w:cs="Calibri" w:eastAsia="Calibri" w:hAnsi="Calibri"/>
          <w:color w:val="333333"/>
          <w:sz w:val="22"/>
          <w:szCs w:val="22"/>
        </w:rPr>
        <w:t xml:space="preserve">When a staff member asks a question, the system retrieves the most relevant chunks and passes them to the language model.</w:t>
      </w:r>
    </w:p>
    <w:p>
      <w:pPr>
        <w:pStyle w:val="ListParagraph"/>
        <w:numPr>
          <w:ilvl w:val="0"/>
          <w:numId w:val="2"/>
        </w:numPr>
        <w:spacing w:after="90"/>
      </w:pPr>
      <w:r>
        <w:rPr>
          <w:rFonts w:ascii="Calibri" w:cs="Calibri" w:eastAsia="Calibri" w:hAnsi="Calibri"/>
          <w:color w:val="333333"/>
          <w:sz w:val="22"/>
          <w:szCs w:val="22"/>
        </w:rPr>
        <w:t xml:space="preserve">The model is instructed to answer only from the retrieved material and to cite its source — or to say it does not know, rather than guess.</w:t>
      </w:r>
    </w:p>
    <w:p>
      <w:pPr>
        <w:pStyle w:val="Heading3"/>
        <w:spacing w:after="100" w:before="200"/>
      </w:pPr>
      <w:r>
        <w:rPr>
          <w:rFonts w:ascii="Calibri" w:cs="Calibri" w:eastAsia="Calibri" w:hAnsi="Calibri"/>
          <w:b/>
          <w:bCs/>
          <w:color w:val="333333"/>
          <w:sz w:val="22"/>
          <w:szCs w:val="22"/>
        </w:rPr>
        <w:t xml:space="preserve">Source whitelist (illustrative — to be finalized with compliance)</w:t>
      </w:r>
    </w:p>
    <w:p>
      <w:pPr>
        <w:pStyle w:val="ListParagraph"/>
        <w:numPr>
          <w:ilvl w:val="0"/>
          <w:numId w:val="2"/>
        </w:numPr>
        <w:spacing w:after="90"/>
      </w:pPr>
      <w:r>
        <w:rPr>
          <w:rFonts w:ascii="Calibri" w:cs="Calibri" w:eastAsia="Calibri" w:hAnsi="Calibri"/>
          <w:color w:val="333333"/>
          <w:sz w:val="22"/>
          <w:szCs w:val="22"/>
        </w:rPr>
        <w:t xml:space="preserve">SECP circulars and notifications</w:t>
      </w:r>
    </w:p>
    <w:p>
      <w:pPr>
        <w:pStyle w:val="ListParagraph"/>
        <w:numPr>
          <w:ilvl w:val="0"/>
          <w:numId w:val="2"/>
        </w:numPr>
        <w:spacing w:after="90"/>
      </w:pPr>
      <w:r>
        <w:rPr>
          <w:rFonts w:ascii="Calibri" w:cs="Calibri" w:eastAsia="Calibri" w:hAnsi="Calibri"/>
          <w:color w:val="333333"/>
          <w:sz w:val="22"/>
          <w:szCs w:val="22"/>
        </w:rPr>
        <w:t xml:space="preserve">[COMPANY NAME]'s own public website and disclosure pages</w:t>
      </w:r>
    </w:p>
    <w:p>
      <w:pPr>
        <w:pStyle w:val="ListParagraph"/>
        <w:numPr>
          <w:ilvl w:val="0"/>
          <w:numId w:val="2"/>
        </w:numPr>
        <w:spacing w:after="90"/>
      </w:pPr>
      <w:r>
        <w:rPr>
          <w:rFonts w:ascii="Calibri" w:cs="Calibri" w:eastAsia="Calibri" w:hAnsi="Calibri"/>
          <w:color w:val="333333"/>
          <w:sz w:val="22"/>
          <w:szCs w:val="22"/>
        </w:rPr>
        <w:t xml:space="preserve">Relevant national regulator websites</w:t>
      </w:r>
    </w:p>
    <w:p>
      <w:pPr>
        <w:spacing w:after="160" w:line="276"/>
      </w:pPr>
      <w:r>
        <w:rPr>
          <w:rFonts w:ascii="Calibri" w:cs="Calibri" w:eastAsia="Calibri" w:hAnsi="Calibri"/>
          <w:color w:val="333333"/>
          <w:sz w:val="22"/>
          <w:szCs w:val="22"/>
        </w:rPr>
        <w:t xml:space="preserve">No source outside this approved, publicly accessible list is ever ingested. The whitelist is a configuration file that compliance can review and amend at any time.</w:t>
      </w:r>
    </w:p>
    <w:p>
      <w:pPr>
        <w:pStyle w:val="Heading1"/>
        <w:spacing w:after="200" w:before="400"/>
      </w:pPr>
      <w:r>
        <w:rPr>
          <w:rFonts w:ascii="Cambria" w:cs="Cambria" w:eastAsia="Cambria" w:hAnsi="Cambria"/>
          <w:b/>
          <w:bCs/>
          <w:color w:val="1E2761"/>
          <w:sz w:val="30"/>
          <w:szCs w:val="30"/>
        </w:rPr>
        <w:t xml:space="preserve">4. Phase 1 — Core Assistant</w:t>
      </w:r>
    </w:p>
    <w:p>
      <w:pPr>
        <w:pStyle w:val="Heading2"/>
        <w:spacing w:after="150" w:before="300"/>
      </w:pPr>
      <w:r>
        <w:rPr>
          <w:rFonts w:ascii="Cambria" w:cs="Cambria" w:eastAsia="Cambria" w:hAnsi="Cambria"/>
          <w:b/>
          <w:bCs/>
          <w:color w:val="1E2761"/>
          <w:sz w:val="24"/>
          <w:szCs w:val="24"/>
        </w:rPr>
        <w:t xml:space="preserve">4.1 Scope</w:t>
      </w:r>
    </w:p>
    <w:p>
      <w:pPr>
        <w:spacing w:after="160" w:line="276"/>
      </w:pPr>
      <w:r>
        <w:rPr>
          <w:rFonts w:ascii="Calibri" w:cs="Calibri" w:eastAsia="Calibri" w:hAnsi="Calibri"/>
          <w:color w:val="333333"/>
          <w:sz w:val="22"/>
          <w:szCs w:val="22"/>
        </w:rPr>
        <w:t xml:space="preserve">Phase 1 delivers a working, internally-usable chat assistant covering the core value proposition: ask a question in plain language, get an answer with a citation. Memory is session-only — nothing about a user or their queries is stored once the session ends, and no personalization exists yet.</w:t>
      </w:r>
    </w:p>
    <w:p>
      <w:pPr>
        <w:pStyle w:val="Heading2"/>
        <w:spacing w:after="150" w:before="300"/>
      </w:pPr>
      <w:r>
        <w:rPr>
          <w:rFonts w:ascii="Cambria" w:cs="Cambria" w:eastAsia="Cambria" w:hAnsi="Cambria"/>
          <w:b/>
          <w:bCs/>
          <w:color w:val="1E2761"/>
          <w:sz w:val="24"/>
          <w:szCs w:val="24"/>
        </w:rPr>
        <w:t xml:space="preserve">4.2 Architecture</w:t>
      </w:r>
    </w:p>
    <w:p>
      <w:pPr>
        <w:spacing w:after="160" w:line="276"/>
      </w:pPr>
      <w:r>
        <w:rPr>
          <w:rFonts w:ascii="Calibri" w:cs="Calibri" w:eastAsia="Calibri" w:hAnsi="Calibri"/>
          <w:color w:val="333333"/>
          <w:sz w:val="22"/>
          <w:szCs w:val="22"/>
        </w:rPr>
        <w:t xml:space="preserve">The pipeline below shows how a document moves from public source to a cited answer:</w:t>
      </w:r>
    </w:p>
    <w:tbl>
      <w:tblPr>
        <w:tblW w:type="dxa" w:w="9350"/>
        <w:tblBorders>
          <w:top w:val="single" w:color="C9C9C9" w:sz="2"/>
          <w:left w:val="single" w:color="C9C9C9" w:sz="2"/>
          <w:bottom w:val="single" w:color="C9C9C9" w:sz="2"/>
          <w:right w:val="single" w:color="C9C9C9" w:sz="2"/>
          <w:insideH w:val="single" w:color="C9C9C9" w:sz="2"/>
          <w:insideV w:val="single" w:color="C9C9C9" w:sz="2"/>
        </w:tblBorders>
      </w:tblPr>
      <w:tblGrid>
        <w:gridCol w:w="1550"/>
        <w:gridCol w:w="5900"/>
        <w:gridCol w:w="1900"/>
      </w:tblGrid>
      <w:tr>
        <w:trPr>
          <w:tblHeader/>
        </w:trPr>
        <w:tc>
          <w:tcPr>
            <w:tcW w:type="dxa" w:w="155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590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c>
          <w:tcPr>
            <w:tcW w:type="dxa" w:w="190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Output</w:t>
            </w:r>
          </w:p>
        </w:tc>
      </w:tr>
      <w:tr>
        <w:tc>
          <w:tcPr>
            <w:tcW w:type="dxa" w:w="15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1. Scheduled crawl</w:t>
            </w:r>
          </w:p>
        </w:tc>
        <w:tc>
          <w:tcPr>
            <w:tcW w:type="dxa" w:w="5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Cron-triggered script checks whitelisted pages/PDFs for new or changed content</w:t>
            </w:r>
          </w:p>
        </w:tc>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New/updated source files</w:t>
            </w:r>
          </w:p>
        </w:tc>
      </w:tr>
      <w:tr>
        <w:tc>
          <w:tcPr>
            <w:tcW w:type="dxa" w:w="15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2. Parsing</w:t>
            </w:r>
          </w:p>
        </w:tc>
        <w:tc>
          <w:tcPr>
            <w:tcW w:type="dxa" w:w="5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Text is extracted from HTML and PDFs (including tables)</w:t>
            </w:r>
          </w:p>
        </w:tc>
        <w:tc>
          <w:tcPr>
            <w:tcW w:type="dxa" w:w="1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Clean, structured text</w:t>
            </w:r>
          </w:p>
        </w:tc>
      </w:tr>
      <w:tr>
        <w:tc>
          <w:tcPr>
            <w:tcW w:type="dxa" w:w="15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3. Chunking &amp; embedding</w:t>
            </w:r>
          </w:p>
        </w:tc>
        <w:tc>
          <w:tcPr>
            <w:tcW w:type="dxa" w:w="5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Text is split into passages and converted into vector embeddings</w:t>
            </w:r>
          </w:p>
        </w:tc>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Embedded text chunks</w:t>
            </w:r>
          </w:p>
        </w:tc>
      </w:tr>
      <w:tr>
        <w:tc>
          <w:tcPr>
            <w:tcW w:type="dxa" w:w="15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4. Vector storage</w:t>
            </w:r>
          </w:p>
        </w:tc>
        <w:tc>
          <w:tcPr>
            <w:tcW w:type="dxa" w:w="5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Chunks and embeddings are stored in a vector database, indexed by source and date</w:t>
            </w:r>
          </w:p>
        </w:tc>
        <w:tc>
          <w:tcPr>
            <w:tcW w:type="dxa" w:w="1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Searchable knowledge base</w:t>
            </w:r>
          </w:p>
        </w:tc>
      </w:tr>
      <w:tr>
        <w:tc>
          <w:tcPr>
            <w:tcW w:type="dxa" w:w="15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5. Retrieval</w:t>
            </w:r>
          </w:p>
        </w:tc>
        <w:tc>
          <w:tcPr>
            <w:tcW w:type="dxa" w:w="5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 user question is embedded and matched against the closest stored chunks</w:t>
            </w:r>
          </w:p>
        </w:tc>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Relevant source passages</w:t>
            </w:r>
          </w:p>
        </w:tc>
      </w:tr>
      <w:tr>
        <w:tc>
          <w:tcPr>
            <w:tcW w:type="dxa" w:w="15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6. Answer generation</w:t>
            </w:r>
          </w:p>
        </w:tc>
        <w:tc>
          <w:tcPr>
            <w:tcW w:type="dxa" w:w="5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The LLM answers strictly from retrieved passages and cites the source(s)</w:t>
            </w:r>
          </w:p>
        </w:tc>
        <w:tc>
          <w:tcPr>
            <w:tcW w:type="dxa" w:w="1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Cited, plain-language answer</w:t>
            </w:r>
          </w:p>
        </w:tc>
      </w:tr>
      <w:tr>
        <w:tc>
          <w:tcPr>
            <w:tcW w:type="dxa" w:w="15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7. Chat interface</w:t>
            </w:r>
          </w:p>
        </w:tc>
        <w:tc>
          <w:tcPr>
            <w:tcW w:type="dxa" w:w="5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Staff interact through a simple text chat window</w:t>
            </w:r>
          </w:p>
        </w:tc>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Question asked, answer shown</w:t>
            </w:r>
          </w:p>
        </w:tc>
      </w:tr>
    </w:tbl>
    <w:p>
      <w:pPr>
        <w:spacing w:before="220"/>
      </w:pPr>
    </w:p>
    <w:p>
      <w:pPr>
        <w:pStyle w:val="Heading2"/>
        <w:spacing w:after="150" w:before="300"/>
      </w:pPr>
      <w:r>
        <w:rPr>
          <w:rFonts w:ascii="Cambria" w:cs="Cambria" w:eastAsia="Cambria" w:hAnsi="Cambria"/>
          <w:b/>
          <w:bCs/>
          <w:color w:val="1E2761"/>
          <w:sz w:val="24"/>
          <w:szCs w:val="24"/>
        </w:rPr>
        <w:t xml:space="preserve">4.3 Technology Stack</w:t>
      </w:r>
    </w:p>
    <w:tbl>
      <w:tblPr>
        <w:tblW w:type="dxa" w:w="9350"/>
        <w:tblBorders>
          <w:top w:val="single" w:color="C9C9C9" w:sz="2"/>
          <w:left w:val="single" w:color="C9C9C9" w:sz="2"/>
          <w:bottom w:val="single" w:color="C9C9C9" w:sz="2"/>
          <w:right w:val="single" w:color="C9C9C9" w:sz="2"/>
          <w:insideH w:val="single" w:color="C9C9C9" w:sz="2"/>
          <w:insideV w:val="single" w:color="C9C9C9" w:sz="2"/>
        </w:tblBorders>
      </w:tblPr>
      <w:tblGrid>
        <w:gridCol w:w="1900"/>
        <w:gridCol w:w="3700"/>
        <w:gridCol w:w="3750"/>
      </w:tblGrid>
      <w:tr>
        <w:trPr>
          <w:tblHeader/>
        </w:trPr>
        <w:tc>
          <w:tcPr>
            <w:tcW w:type="dxa" w:w="190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370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Technology</w:t>
            </w:r>
          </w:p>
        </w:tc>
        <w:tc>
          <w:tcPr>
            <w:tcW w:type="dxa" w:w="375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Notes</w:t>
            </w:r>
          </w:p>
        </w:tc>
      </w:tr>
      <w:tr>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Scheduling</w:t>
            </w:r>
          </w:p>
        </w:tc>
        <w:tc>
          <w:tcPr>
            <w:tcW w:type="dxa" w:w="37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Python scripts + cron</w:t>
            </w:r>
          </w:p>
        </w:tc>
        <w:tc>
          <w:tcPr>
            <w:tcW w:type="dxa" w:w="37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No workflow-automation platform (e.g. n8n) — kept lean for a solo, entry-level build</w:t>
            </w:r>
          </w:p>
        </w:tc>
      </w:tr>
      <w:tr>
        <w:tc>
          <w:tcPr>
            <w:tcW w:type="dxa" w:w="1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Scraping</w:t>
            </w:r>
          </w:p>
        </w:tc>
        <w:tc>
          <w:tcPr>
            <w:tcW w:type="dxa" w:w="37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requests / BeautifulSoup</w:t>
            </w:r>
          </w:p>
        </w:tc>
        <w:tc>
          <w:tcPr>
            <w:tcW w:type="dxa" w:w="37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Standard, well-documented Python libraries</w:t>
            </w:r>
          </w:p>
        </w:tc>
      </w:tr>
      <w:tr>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PDF parsing</w:t>
            </w:r>
          </w:p>
        </w:tc>
        <w:tc>
          <w:tcPr>
            <w:tcW w:type="dxa" w:w="37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PyMuPDF or pdfplumber</w:t>
            </w:r>
          </w:p>
        </w:tc>
        <w:tc>
          <w:tcPr>
            <w:tcW w:type="dxa" w:w="37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OCR fallback may be needed for scanned circulars (see Risks)</w:t>
            </w:r>
          </w:p>
        </w:tc>
      </w:tr>
      <w:tr>
        <w:tc>
          <w:tcPr>
            <w:tcW w:type="dxa" w:w="1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Embeddings</w:t>
            </w:r>
          </w:p>
        </w:tc>
        <w:tc>
          <w:tcPr>
            <w:tcW w:type="dxa" w:w="37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Embeddings API (e.g. OpenAI text-embedding-3-small)</w:t>
            </w:r>
          </w:p>
        </w:tc>
        <w:tc>
          <w:tcPr>
            <w:tcW w:type="dxa" w:w="37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Converts text chunks into searchable vectors</w:t>
            </w:r>
          </w:p>
        </w:tc>
      </w:tr>
      <w:tr>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Vector database</w:t>
            </w:r>
          </w:p>
        </w:tc>
        <w:tc>
          <w:tcPr>
            <w:tcW w:type="dxa" w:w="37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Chroma (self-hosted) or Supabase/pgvector</w:t>
            </w:r>
          </w:p>
        </w:tc>
        <w:tc>
          <w:tcPr>
            <w:tcW w:type="dxa" w:w="37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Stores embeddings; enables fast similarity search</w:t>
            </w:r>
          </w:p>
        </w:tc>
      </w:tr>
      <w:tr>
        <w:tc>
          <w:tcPr>
            <w:tcW w:type="dxa" w:w="1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Answer generation</w:t>
            </w:r>
          </w:p>
        </w:tc>
        <w:tc>
          <w:tcPr>
            <w:tcW w:type="dxa" w:w="37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Claude API</w:t>
            </w:r>
          </w:p>
        </w:tc>
        <w:tc>
          <w:tcPr>
            <w:tcW w:type="dxa" w:w="37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Prompted to answer only from retrieved sources and cite them</w:t>
            </w:r>
          </w:p>
        </w:tc>
      </w:tr>
      <w:tr>
        <w:tc>
          <w:tcPr>
            <w:tcW w:type="dxa" w:w="1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Interface</w:t>
            </w:r>
          </w:p>
        </w:tc>
        <w:tc>
          <w:tcPr>
            <w:tcW w:type="dxa" w:w="37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Plain text chat (web or terminal)</w:t>
            </w:r>
          </w:p>
        </w:tc>
        <w:tc>
          <w:tcPr>
            <w:tcW w:type="dxa" w:w="37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No dashboard or settings UI in Phase 1</w:t>
            </w:r>
          </w:p>
        </w:tc>
      </w:tr>
      <w:tr>
        <w:tc>
          <w:tcPr>
            <w:tcW w:type="dxa" w:w="1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Hosting</w:t>
            </w:r>
          </w:p>
        </w:tc>
        <w:tc>
          <w:tcPr>
            <w:tcW w:type="dxa" w:w="37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Self-hosted VPS (~$5–10/month)</w:t>
            </w:r>
          </w:p>
        </w:tc>
        <w:tc>
          <w:tcPr>
            <w:tcW w:type="dxa" w:w="37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Appropriate because all indexed data is already public</w:t>
            </w:r>
          </w:p>
        </w:tc>
      </w:tr>
    </w:tbl>
    <w:p>
      <w:pPr>
        <w:spacing w:before="220"/>
      </w:pPr>
    </w:p>
    <w:p>
      <w:pPr>
        <w:pStyle w:val="Heading2"/>
        <w:spacing w:after="150" w:before="300"/>
      </w:pPr>
      <w:r>
        <w:rPr>
          <w:rFonts w:ascii="Cambria" w:cs="Cambria" w:eastAsia="Cambria" w:hAnsi="Cambria"/>
          <w:b/>
          <w:bCs/>
          <w:color w:val="1E2761"/>
          <w:sz w:val="24"/>
          <w:szCs w:val="24"/>
        </w:rPr>
        <w:t xml:space="preserve">4.4 Timeline &amp; Cost</w:t>
      </w:r>
    </w:p>
    <w:tbl>
      <w:tblPr>
        <w:tblW w:type="dxa" w:w="9350"/>
        <w:tblBorders>
          <w:top w:val="single" w:color="C9C9C9" w:sz="2"/>
          <w:left w:val="single" w:color="C9C9C9" w:sz="2"/>
          <w:bottom w:val="single" w:color="C9C9C9" w:sz="2"/>
          <w:right w:val="single" w:color="C9C9C9" w:sz="2"/>
          <w:insideH w:val="single" w:color="C9C9C9" w:sz="2"/>
          <w:insideV w:val="single" w:color="C9C9C9" w:sz="2"/>
        </w:tblBorders>
      </w:tblPr>
      <w:tblGrid>
        <w:gridCol w:w="4675"/>
        <w:gridCol w:w="4675"/>
      </w:tblGrid>
      <w:tr>
        <w:trPr>
          <w:tblHeader/>
        </w:trPr>
        <w:tc>
          <w:tcPr>
            <w:tcW w:type="dxa" w:w="4675"/>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Item</w:t>
            </w:r>
          </w:p>
        </w:tc>
        <w:tc>
          <w:tcPr>
            <w:tcW w:type="dxa" w:w="4675"/>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Estimate</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Build timeline (solo, steady effort)</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Approximately 4–5 weeks</w:t>
            </w:r>
          </w:p>
        </w:tc>
      </w:tr>
      <w:tr>
        <w:tc>
          <w:tcPr>
            <w:tcW w:type="dxa" w:w="4675"/>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Build timeline (part-time effort)</w:t>
            </w:r>
          </w:p>
        </w:tc>
        <w:tc>
          <w:tcPr>
            <w:tcW w:type="dxa" w:w="4675"/>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Approximately 8–10 weeks</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Ongoing running cost</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Approximately $20–50/month (VPS + API usage)</w:t>
            </w:r>
          </w:p>
        </w:tc>
      </w:tr>
    </w:tbl>
    <w:p>
      <w:pPr>
        <w:spacing w:before="220"/>
      </w:pPr>
    </w:p>
    <w:p>
      <w:pPr>
        <w:pStyle w:val="Heading2"/>
        <w:spacing w:after="150" w:before="300"/>
      </w:pPr>
      <w:r>
        <w:rPr>
          <w:rFonts w:ascii="Cambria" w:cs="Cambria" w:eastAsia="Cambria" w:hAnsi="Cambria"/>
          <w:b/>
          <w:bCs/>
          <w:color w:val="1E2761"/>
          <w:sz w:val="24"/>
          <w:szCs w:val="24"/>
        </w:rPr>
        <w:t xml:space="preserve">4.5 Known Risks &amp; Mitigations</w:t>
      </w:r>
    </w:p>
    <w:tbl>
      <w:tblPr>
        <w:tblW w:type="dxa" w:w="9350"/>
        <w:tblBorders>
          <w:top w:val="single" w:color="C9C9C9" w:sz="2"/>
          <w:left w:val="single" w:color="C9C9C9" w:sz="2"/>
          <w:bottom w:val="single" w:color="C9C9C9" w:sz="2"/>
          <w:right w:val="single" w:color="C9C9C9" w:sz="2"/>
          <w:insideH w:val="single" w:color="C9C9C9" w:sz="2"/>
          <w:insideV w:val="single" w:color="C9C9C9" w:sz="2"/>
        </w:tblBorders>
      </w:tblPr>
      <w:tblGrid>
        <w:gridCol w:w="4675"/>
        <w:gridCol w:w="4675"/>
      </w:tblGrid>
      <w:tr>
        <w:trPr>
          <w:tblHeader/>
        </w:trPr>
        <w:tc>
          <w:tcPr>
            <w:tcW w:type="dxa" w:w="4675"/>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Risk</w:t>
            </w:r>
          </w:p>
        </w:tc>
        <w:tc>
          <w:tcPr>
            <w:tcW w:type="dxa" w:w="4675"/>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Mitigation</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Regulator PDFs are often scanned or poorly formatted, making text extraction unreliable</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Add an OCR step (e.g. Tesseract) for scanned documents; flag low-confidence extractions for manual review</w:t>
            </w:r>
          </w:p>
        </w:tc>
      </w:tr>
      <w:tr>
        <w:tc>
          <w:tcPr>
            <w:tcW w:type="dxa" w:w="4675"/>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The model could answer confidently from general knowledge instead of the retrieved sources</w:t>
            </w:r>
          </w:p>
        </w:tc>
        <w:tc>
          <w:tcPr>
            <w:tcW w:type="dxa" w:w="4675"/>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Strict prompt instructions to answer only from retrieved context and explicitly say "I don't know" when the sources don't cover the question; citation is mandatory for every claim</w:t>
            </w:r>
          </w:p>
        </w:tc>
      </w:tr>
      <w:tr>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Self-hosting a VPS has a learning curve for an entry-level build</w:t>
            </w:r>
          </w:p>
        </w:tc>
        <w:tc>
          <w:tcPr>
            <w:tcW w:type="dxa" w:w="4675"/>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Use a managed, minimal Docker setup and well-documented deployment steps; budget review time in the timeline</w:t>
            </w:r>
          </w:p>
        </w:tc>
      </w:tr>
      <w:tr>
        <w:tc>
          <w:tcPr>
            <w:tcW w:type="dxa" w:w="4675"/>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A source site changes its structure and breaks the crawler</w:t>
            </w:r>
          </w:p>
        </w:tc>
        <w:tc>
          <w:tcPr>
            <w:tcW w:type="dxa" w:w="4675"/>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Modular scraper design per source, with monitoring/alerts on crawl failures</w:t>
            </w:r>
          </w:p>
        </w:tc>
      </w:tr>
    </w:tbl>
    <w:p>
      <w:r>
        <w:br w:type="page"/>
      </w:r>
    </w:p>
    <w:p>
      <w:pPr>
        <w:pStyle w:val="Heading1"/>
        <w:spacing w:after="200" w:before="400"/>
      </w:pPr>
      <w:r>
        <w:rPr>
          <w:rFonts w:ascii="Cambria" w:cs="Cambria" w:eastAsia="Cambria" w:hAnsi="Cambria"/>
          <w:b/>
          <w:bCs/>
          <w:color w:val="1E2761"/>
          <w:sz w:val="30"/>
          <w:szCs w:val="30"/>
        </w:rPr>
        <w:t xml:space="preserve">5. Phase 2 — Expansion</w:t>
      </w:r>
    </w:p>
    <w:p>
      <w:pPr>
        <w:spacing w:after="160" w:line="276"/>
      </w:pPr>
      <w:r>
        <w:rPr>
          <w:rFonts w:ascii="Calibri" w:cs="Calibri" w:eastAsia="Calibri" w:hAnsi="Calibri"/>
          <w:color w:val="333333"/>
          <w:sz w:val="22"/>
          <w:szCs w:val="22"/>
        </w:rPr>
        <w:t xml:space="preserve">Phase 2 is proposed only after Phase 1 is live, in use, and approved by leadership. Every Phase 2 item below continues to require zero access to internal company data or systems — it expands what the assistant can do with public information, not what it can see internally.</w:t>
      </w:r>
    </w:p>
    <w:p>
      <w:pPr>
        <w:pStyle w:val="Heading2"/>
        <w:spacing w:after="150" w:before="300"/>
      </w:pPr>
      <w:r>
        <w:rPr>
          <w:rFonts w:ascii="Cambria" w:cs="Cambria" w:eastAsia="Cambria" w:hAnsi="Cambria"/>
          <w:b/>
          <w:bCs/>
          <w:color w:val="1E2761"/>
          <w:sz w:val="24"/>
          <w:szCs w:val="24"/>
        </w:rPr>
        <w:t xml:space="preserve">5.1 Expanded Source Coverage</w:t>
      </w:r>
    </w:p>
    <w:p>
      <w:pPr>
        <w:pStyle w:val="ListParagraph"/>
        <w:numPr>
          <w:ilvl w:val="0"/>
          <w:numId w:val="2"/>
        </w:numPr>
        <w:spacing w:after="90"/>
      </w:pPr>
      <w:r>
        <w:rPr>
          <w:rFonts w:ascii="Calibri" w:cs="Calibri" w:eastAsia="Calibri" w:hAnsi="Calibri"/>
          <w:color w:val="333333"/>
          <w:sz w:val="22"/>
          <w:szCs w:val="22"/>
        </w:rPr>
        <w:t xml:space="preserve">Additional relevant regulators added to the whitelist</w:t>
      </w:r>
    </w:p>
    <w:p>
      <w:pPr>
        <w:pStyle w:val="ListParagraph"/>
        <w:numPr>
          <w:ilvl w:val="0"/>
          <w:numId w:val="2"/>
        </w:numPr>
        <w:spacing w:after="90"/>
      </w:pPr>
      <w:r>
        <w:rPr>
          <w:rFonts w:ascii="Calibri" w:cs="Calibri" w:eastAsia="Calibri" w:hAnsi="Calibri"/>
          <w:color w:val="333333"/>
          <w:sz w:val="22"/>
          <w:szCs w:val="22"/>
        </w:rPr>
        <w:t xml:space="preserve">Historical circular archives indexed for longer-range queries</w:t>
      </w:r>
    </w:p>
    <w:p>
      <w:pPr>
        <w:pStyle w:val="ListParagraph"/>
        <w:numPr>
          <w:ilvl w:val="0"/>
          <w:numId w:val="2"/>
        </w:numPr>
        <w:spacing w:after="90"/>
      </w:pPr>
      <w:r>
        <w:rPr>
          <w:rFonts w:ascii="Calibri" w:cs="Calibri" w:eastAsia="Calibri" w:hAnsi="Calibri"/>
          <w:color w:val="333333"/>
          <w:sz w:val="22"/>
          <w:szCs w:val="22"/>
        </w:rPr>
        <w:t xml:space="preserve">Other asset management companies' public disclosures, for benchmarking context</w:t>
      </w:r>
    </w:p>
    <w:p>
      <w:pPr>
        <w:pStyle w:val="Heading2"/>
        <w:spacing w:after="150" w:before="300"/>
      </w:pPr>
      <w:r>
        <w:rPr>
          <w:rFonts w:ascii="Cambria" w:cs="Cambria" w:eastAsia="Cambria" w:hAnsi="Cambria"/>
          <w:b/>
          <w:bCs/>
          <w:color w:val="1E2761"/>
          <w:sz w:val="24"/>
          <w:szCs w:val="24"/>
        </w:rPr>
        <w:t xml:space="preserve">5.2 Automated Compliance Alerts</w:t>
      </w:r>
    </w:p>
    <w:p>
      <w:pPr>
        <w:spacing w:after="160" w:line="276"/>
      </w:pPr>
      <w:r>
        <w:rPr>
          <w:rFonts w:ascii="Calibri" w:cs="Calibri" w:eastAsia="Calibri" w:hAnsi="Calibri"/>
          <w:color w:val="333333"/>
          <w:sz w:val="22"/>
          <w:szCs w:val="22"/>
        </w:rPr>
        <w:t xml:space="preserve">Rather than waiting for staff to ask, the system proactively flags newly published circulars that appear relevant to a given team's reporting obligations, based on keyword and topic matching against the new document.</w:t>
      </w:r>
    </w:p>
    <w:p>
      <w:pPr>
        <w:pStyle w:val="Heading2"/>
        <w:spacing w:after="150" w:before="300"/>
      </w:pPr>
      <w:r>
        <w:rPr>
          <w:rFonts w:ascii="Cambria" w:cs="Cambria" w:eastAsia="Cambria" w:hAnsi="Cambria"/>
          <w:b/>
          <w:bCs/>
          <w:color w:val="1E2761"/>
          <w:sz w:val="24"/>
          <w:szCs w:val="24"/>
        </w:rPr>
        <w:t xml:space="preserve">5.3 Retail-Investor-Facing Chatbot</w:t>
      </w:r>
    </w:p>
    <w:p>
      <w:pPr>
        <w:spacing w:after="160" w:line="276"/>
      </w:pPr>
      <w:r>
        <w:rPr>
          <w:rFonts w:ascii="Calibri" w:cs="Calibri" w:eastAsia="Calibri" w:hAnsi="Calibri"/>
          <w:color w:val="333333"/>
          <w:sz w:val="22"/>
          <w:szCs w:val="22"/>
        </w:rPr>
        <w:t xml:space="preserve">A public-facing version of the same engine, scoped to answer common investor questions using [COMPANY NAME]'s own already-public disclosures. It uses the identical citation-first approach, so every answer remains traceable to a published source.</w:t>
      </w:r>
    </w:p>
    <w:p>
      <w:pPr>
        <w:pStyle w:val="Heading2"/>
        <w:spacing w:after="150" w:before="300"/>
      </w:pPr>
      <w:r>
        <w:rPr>
          <w:rFonts w:ascii="Cambria" w:cs="Cambria" w:eastAsia="Cambria" w:hAnsi="Cambria"/>
          <w:b/>
          <w:bCs/>
          <w:color w:val="1E2761"/>
          <w:sz w:val="24"/>
          <w:szCs w:val="24"/>
        </w:rPr>
        <w:t xml:space="preserve">5.4 Staff Personalization</w:t>
      </w:r>
    </w:p>
    <w:p>
      <w:pPr>
        <w:spacing w:after="160" w:line="276"/>
      </w:pPr>
      <w:r>
        <w:rPr>
          <w:rFonts w:ascii="Calibri" w:cs="Calibri" w:eastAsia="Calibri" w:hAnsi="Calibri"/>
          <w:color w:val="333333"/>
          <w:sz w:val="22"/>
          <w:szCs w:val="22"/>
        </w:rPr>
        <w:t xml:space="preserve">The assistant gradually learns a staff member's working context from how they use it over time — for example, the topics they ask about most, their preferred level of detail, and who they typically report findings to. This happens conversationally, through normal use, rather than through a one-time profile form or a separate settings screen.</w:t>
      </w:r>
    </w:p>
    <w:p>
      <w:pPr>
        <w:pStyle w:val="Heading2"/>
        <w:spacing w:after="150" w:before="300"/>
      </w:pPr>
      <w:r>
        <w:rPr>
          <w:rFonts w:ascii="Cambria" w:cs="Cambria" w:eastAsia="Cambria" w:hAnsi="Cambria"/>
          <w:b/>
          <w:bCs/>
          <w:color w:val="1E2761"/>
          <w:sz w:val="24"/>
          <w:szCs w:val="24"/>
        </w:rPr>
        <w:t xml:space="preserve">5.5 One-Click Email / Report Generation</w:t>
      </w:r>
    </w:p>
    <w:p>
      <w:pPr>
        <w:spacing w:after="160" w:line="276"/>
      </w:pPr>
      <w:r>
        <w:rPr>
          <w:rFonts w:ascii="Calibri" w:cs="Calibri" w:eastAsia="Calibri" w:hAnsi="Calibri"/>
          <w:color w:val="333333"/>
          <w:sz w:val="22"/>
          <w:szCs w:val="22"/>
        </w:rPr>
        <w:t xml:space="preserve">Once the system has picked up a staff member's preferences and reporting relationships, a single action drafts a ready-to-send email or short report summarizing a query result, addressed and formatted appropriately for that person's usual recipient.</w:t>
      </w:r>
    </w:p>
    <w:p>
      <w:pPr>
        <w:pStyle w:val="Heading2"/>
        <w:spacing w:after="150" w:before="300"/>
      </w:pPr>
      <w:r>
        <w:rPr>
          <w:rFonts w:ascii="Cambria" w:cs="Cambria" w:eastAsia="Cambria" w:hAnsi="Cambria"/>
          <w:b/>
          <w:bCs/>
          <w:color w:val="1E2761"/>
          <w:sz w:val="24"/>
          <w:szCs w:val="24"/>
        </w:rPr>
        <w:t xml:space="preserve">5.6 Explicit Out-of-Scope Boundary</w:t>
      </w:r>
    </w:p>
    <w:tbl>
      <w:tblPr>
        <w:tblW w:type="pct" w:w="100%"/>
        <w:tblBorders>
          <w:top w:val="single" w:color="9E2A2B" w:sz="4"/>
          <w:left w:val="single" w:color="9E2A2B" w:sz="4"/>
          <w:bottom w:val="single" w:color="9E2A2B" w:sz="4"/>
          <w:right w:val="single" w:color="9E2A2B" w:sz="4"/>
          <w:insideH w:val="none" w:color="FFFFFF" w:sz="0"/>
          <w:insideV w:val="none" w:color="FFFFFF" w:sz="0"/>
        </w:tblBorders>
      </w:tblPr>
      <w:tblGrid>
        <w:gridCol w:w="100"/>
      </w:tblGrid>
      <w:tr>
        <w:tc>
          <w:tcPr>
            <w:shd w:fill="F4F6FB" w:color="auto" w:val="clear"/>
            <w:tcMar>
              <w:top w:type="dxa" w:w="160"/>
              <w:left w:type="dxa" w:w="200"/>
              <w:bottom w:type="dxa" w:w="160"/>
              <w:right w:type="dxa" w:w="200"/>
            </w:tcMar>
          </w:tcPr>
          <w:p>
            <w:pPr>
              <w:spacing w:after="80"/>
            </w:pPr>
            <w:r>
              <w:rPr>
                <w:rFonts w:ascii="Calibri" w:cs="Calibri" w:eastAsia="Calibri" w:hAnsi="Calibri"/>
                <w:b/>
                <w:bCs/>
                <w:color w:val="9E2A2B"/>
                <w:sz w:val="22"/>
                <w:szCs w:val="22"/>
              </w:rPr>
              <w:t xml:space="preserve">Not included in this proposal</w:t>
            </w:r>
          </w:p>
          <w:p>
            <w:pPr>
              <w:spacing w:after="40"/>
            </w:pPr>
            <w:r>
              <w:rPr>
                <w:rFonts w:ascii="Calibri" w:cs="Calibri" w:eastAsia="Calibri" w:hAnsi="Calibri"/>
                <w:color w:val="333333"/>
                <w:sz w:val="20"/>
                <w:szCs w:val="20"/>
              </w:rPr>
              <w:t xml:space="preserve">•  Any integration with internal documents, CRM, recordings, or internal reporting systems</w:t>
            </w:r>
          </w:p>
          <w:p>
            <w:pPr>
              <w:spacing w:after="40"/>
            </w:pPr>
            <w:r>
              <w:rPr>
                <w:rFonts w:ascii="Calibri" w:cs="Calibri" w:eastAsia="Calibri" w:hAnsi="Calibri"/>
                <w:color w:val="333333"/>
                <w:sz w:val="20"/>
                <w:szCs w:val="20"/>
              </w:rPr>
              <w:t xml:space="preserve">•  Any phase involving internal data will be scoped and approved as a separate, later engagement</w:t>
            </w:r>
          </w:p>
        </w:tc>
      </w:tr>
    </w:tbl>
    <w:p>
      <w:r>
        <w:br w:type="page"/>
      </w:r>
    </w:p>
    <w:p>
      <w:pPr>
        <w:pStyle w:val="Heading1"/>
        <w:spacing w:after="200" w:before="400"/>
      </w:pPr>
      <w:r>
        <w:rPr>
          <w:rFonts w:ascii="Cambria" w:cs="Cambria" w:eastAsia="Cambria" w:hAnsi="Cambria"/>
          <w:b/>
          <w:bCs/>
          <w:color w:val="1E2761"/>
          <w:sz w:val="30"/>
          <w:szCs w:val="30"/>
        </w:rPr>
        <w:t xml:space="preserve">6. Data Security &amp; Governance</w:t>
      </w:r>
    </w:p>
    <w:p>
      <w:pPr>
        <w:spacing w:after="160" w:line="276"/>
      </w:pPr>
      <w:r>
        <w:rPr>
          <w:rFonts w:ascii="Calibri" w:cs="Calibri" w:eastAsia="Calibri" w:hAnsi="Calibri"/>
          <w:color w:val="333333"/>
          <w:sz w:val="22"/>
          <w:szCs w:val="22"/>
        </w:rPr>
        <w:t xml:space="preserve">This design was chosen specifically to align with [COMPANY NAME]'s strict data security posture. The following principles hold across both phases:</w:t>
      </w:r>
    </w:p>
    <w:p>
      <w:pPr>
        <w:pStyle w:val="ListParagraph"/>
        <w:numPr>
          <w:ilvl w:val="0"/>
          <w:numId w:val="2"/>
        </w:numPr>
        <w:spacing w:after="90"/>
      </w:pPr>
      <w:r>
        <w:rPr>
          <w:rFonts w:ascii="Calibri" w:cs="Calibri" w:eastAsia="Calibri" w:hAnsi="Calibri"/>
          <w:color w:val="333333"/>
          <w:sz w:val="22"/>
          <w:szCs w:val="22"/>
        </w:rPr>
        <w:t xml:space="preserve">Public sources only — every ingested document comes from an explicit, compliance-reviewable whitelist of official, publicly accessible sources.</w:t>
      </w:r>
    </w:p>
    <w:p>
      <w:pPr>
        <w:pStyle w:val="ListParagraph"/>
        <w:numPr>
          <w:ilvl w:val="0"/>
          <w:numId w:val="2"/>
        </w:numPr>
        <w:spacing w:after="90"/>
      </w:pPr>
      <w:r>
        <w:rPr>
          <w:rFonts w:ascii="Calibri" w:cs="Calibri" w:eastAsia="Calibri" w:hAnsi="Calibri"/>
          <w:color w:val="333333"/>
          <w:sz w:val="22"/>
          <w:szCs w:val="22"/>
        </w:rPr>
        <w:t xml:space="preserve">No internal access — the assistant never connects to, queries, or stores any internal system, document repository, CRM, or recording.</w:t>
      </w:r>
    </w:p>
    <w:p>
      <w:pPr>
        <w:pStyle w:val="ListParagraph"/>
        <w:numPr>
          <w:ilvl w:val="0"/>
          <w:numId w:val="2"/>
        </w:numPr>
        <w:spacing w:after="90"/>
      </w:pPr>
      <w:r>
        <w:rPr>
          <w:rFonts w:ascii="Calibri" w:cs="Calibri" w:eastAsia="Calibri" w:hAnsi="Calibri"/>
          <w:color w:val="333333"/>
          <w:sz w:val="22"/>
          <w:szCs w:val="22"/>
        </w:rPr>
        <w:t xml:space="preserve">Session-only memory in Phase 1 — no query history or user profile is retained once a chat session ends.</w:t>
      </w:r>
    </w:p>
    <w:p>
      <w:pPr>
        <w:pStyle w:val="ListParagraph"/>
        <w:numPr>
          <w:ilvl w:val="0"/>
          <w:numId w:val="2"/>
        </w:numPr>
        <w:spacing w:after="90"/>
      </w:pPr>
      <w:r>
        <w:rPr>
          <w:rFonts w:ascii="Calibri" w:cs="Calibri" w:eastAsia="Calibri" w:hAnsi="Calibri"/>
          <w:color w:val="333333"/>
          <w:sz w:val="22"/>
          <w:szCs w:val="22"/>
        </w:rPr>
        <w:t xml:space="preserve">Citation-first answers — every answer traces back to a specific, publicly verifiable source document, supporting audit and review.</w:t>
      </w:r>
    </w:p>
    <w:p>
      <w:pPr>
        <w:pStyle w:val="ListParagraph"/>
        <w:numPr>
          <w:ilvl w:val="0"/>
          <w:numId w:val="2"/>
        </w:numPr>
        <w:spacing w:after="90"/>
      </w:pPr>
      <w:r>
        <w:rPr>
          <w:rFonts w:ascii="Calibri" w:cs="Calibri" w:eastAsia="Calibri" w:hAnsi="Calibri"/>
          <w:color w:val="333333"/>
          <w:sz w:val="22"/>
          <w:szCs w:val="22"/>
        </w:rPr>
        <w:t xml:space="preserve">Self-hosted, minimal infrastructure — because the underlying data is already public, hosting can remain lightweight without introducing a new internal attack surface.</w:t>
      </w:r>
    </w:p>
    <w:p>
      <w:pPr>
        <w:spacing w:after="160" w:line="276"/>
      </w:pPr>
      <w:r>
        <w:rPr>
          <w:rFonts w:ascii="Calibri" w:cs="Calibri" w:eastAsia="Calibri" w:hAnsi="Calibri"/>
          <w:color w:val="333333"/>
          <w:sz w:val="22"/>
          <w:szCs w:val="22"/>
        </w:rPr>
        <w:t xml:space="preserve">Before Phase 1 launch, the specific source whitelist should be reviewed and formally approved by compliance, and the exact wording of the assistant's "I don't know" and citation behavior should be validated against sample queries.</w:t>
      </w:r>
    </w:p>
    <w:p>
      <w:pPr>
        <w:pStyle w:val="Heading1"/>
        <w:spacing w:after="200" w:before="400"/>
      </w:pPr>
      <w:r>
        <w:rPr>
          <w:rFonts w:ascii="Cambria" w:cs="Cambria" w:eastAsia="Cambria" w:hAnsi="Cambria"/>
          <w:b/>
          <w:bCs/>
          <w:color w:val="1E2761"/>
          <w:sz w:val="30"/>
          <w:szCs w:val="30"/>
        </w:rPr>
        <w:t xml:space="preserve">7. Deliverables &amp; Approval Path</w:t>
      </w:r>
    </w:p>
    <w:tbl>
      <w:tblPr>
        <w:tblW w:type="dxa" w:w="9350"/>
        <w:tblBorders>
          <w:top w:val="single" w:color="C9C9C9" w:sz="2"/>
          <w:left w:val="single" w:color="C9C9C9" w:sz="2"/>
          <w:bottom w:val="single" w:color="C9C9C9" w:sz="2"/>
          <w:right w:val="single" w:color="C9C9C9" w:sz="2"/>
          <w:insideH w:val="single" w:color="C9C9C9" w:sz="2"/>
          <w:insideV w:val="single" w:color="C9C9C9" w:sz="2"/>
        </w:tblBorders>
      </w:tblPr>
      <w:tblGrid>
        <w:gridCol w:w="5900"/>
        <w:gridCol w:w="3450"/>
      </w:tblGrid>
      <w:tr>
        <w:trPr>
          <w:tblHeader/>
        </w:trPr>
        <w:tc>
          <w:tcPr>
            <w:tcW w:type="dxa" w:w="590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Deliverable</w:t>
            </w:r>
          </w:p>
        </w:tc>
        <w:tc>
          <w:tcPr>
            <w:tcW w:type="dxa" w:w="3450"/>
            <w:shd w:fill="1E2761"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Status</w:t>
            </w:r>
          </w:p>
        </w:tc>
      </w:tr>
      <w:tr>
        <w:tc>
          <w:tcPr>
            <w:tcW w:type="dxa" w:w="5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Technical proposal document (this document)</w:t>
            </w:r>
          </w:p>
        </w:tc>
        <w:tc>
          <w:tcPr>
            <w:tcW w:type="dxa" w:w="34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Complete</w:t>
            </w:r>
          </w:p>
        </w:tc>
      </w:tr>
      <w:tr>
        <w:tc>
          <w:tcPr>
            <w:tcW w:type="dxa" w:w="5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Leadership-facing summary slide deck (Phase 1)</w:t>
            </w:r>
          </w:p>
        </w:tc>
        <w:tc>
          <w:tcPr>
            <w:tcW w:type="dxa" w:w="34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Complete</w:t>
            </w:r>
          </w:p>
        </w:tc>
      </w:tr>
      <w:tr>
        <w:tc>
          <w:tcPr>
            <w:tcW w:type="dxa" w:w="5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Compliance sign-off on source whitelist</w:t>
            </w:r>
          </w:p>
        </w:tc>
        <w:tc>
          <w:tcPr>
            <w:tcW w:type="dxa" w:w="34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Pending</w:t>
            </w:r>
          </w:p>
        </w:tc>
      </w:tr>
      <w:tr>
        <w:tc>
          <w:tcPr>
            <w:tcW w:type="dxa" w:w="5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Phase 1 build</w:t>
            </w:r>
          </w:p>
        </w:tc>
        <w:tc>
          <w:tcPr>
            <w:tcW w:type="dxa" w:w="34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Not started — pending approval</w:t>
            </w:r>
          </w:p>
        </w:tc>
      </w:tr>
      <w:tr>
        <w:tc>
          <w:tcPr>
            <w:tcW w:type="dxa" w:w="590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Phase 1 pilot with a small staff group</w:t>
            </w:r>
          </w:p>
        </w:tc>
        <w:tc>
          <w:tcPr>
            <w:tcW w:type="dxa" w:w="3450"/>
            <w:shd w:fill="FFFFFF"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Not started</w:t>
            </w:r>
          </w:p>
        </w:tc>
      </w:tr>
      <w:tr>
        <w:tc>
          <w:tcPr>
            <w:tcW w:type="dxa" w:w="590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Phase 2 scoping discussion</w:t>
            </w:r>
          </w:p>
        </w:tc>
        <w:tc>
          <w:tcPr>
            <w:tcW w:type="dxa" w:w="3450"/>
            <w:shd w:fill="F4F6FB" w:color="auto" w:val="clear"/>
            <w:tcMar>
              <w:top w:type="dxa" w:w="90"/>
              <w:left w:type="dxa" w:w="120"/>
              <w:bottom w:type="dxa" w:w="90"/>
              <w:right w:type="dxa" w:w="120"/>
            </w:tcMar>
            <w:vAlign w:val="center"/>
          </w:tcPr>
          <w:p>
            <w:r>
              <w:rPr>
                <w:rFonts w:ascii="Calibri" w:cs="Calibri" w:eastAsia="Calibri" w:hAnsi="Calibri"/>
                <w:color w:val="333333"/>
                <w:sz w:val="20"/>
                <w:szCs w:val="20"/>
              </w:rPr>
              <w:t xml:space="preserve">Deferred until Phase 1 is live</w:t>
            </w:r>
          </w:p>
        </w:tc>
      </w:tr>
    </w:tbl>
    <w:p>
      <w:pPr>
        <w:spacing w:before="220"/>
      </w:pPr>
    </w:p>
    <w:p>
      <w:pPr>
        <w:spacing w:after="160" w:line="276"/>
      </w:pPr>
      <w:r>
        <w:rPr>
          <w:rFonts w:ascii="Calibri" w:cs="Calibri" w:eastAsia="Calibri" w:hAnsi="Calibri"/>
          <w:color w:val="333333"/>
          <w:sz w:val="22"/>
          <w:szCs w:val="22"/>
        </w:rPr>
        <w:t xml:space="preserve">Recommended next step: leadership review of the attached slide summary and this document, followed by a short working session to confirm the source whitelist and greenlight the Phase 1 build.</w:t>
      </w:r>
    </w:p>
    <w:p>
      <w:pPr>
        <w:pStyle w:val="Heading1"/>
        <w:spacing w:after="200" w:before="400"/>
      </w:pPr>
      <w:r>
        <w:rPr>
          <w:rFonts w:ascii="Cambria" w:cs="Cambria" w:eastAsia="Cambria" w:hAnsi="Cambria"/>
          <w:b/>
          <w:bCs/>
          <w:color w:val="1E2761"/>
          <w:sz w:val="30"/>
          <w:szCs w:val="30"/>
        </w:rPr>
        <w:t xml:space="preserve">8. Appendix: Glossary</w:t>
      </w:r>
    </w:p>
    <w:p>
      <w:pPr>
        <w:pStyle w:val="ListParagraph"/>
        <w:numPr>
          <w:ilvl w:val="0"/>
          <w:numId w:val="2"/>
        </w:numPr>
        <w:spacing w:after="90"/>
      </w:pPr>
      <w:r>
        <w:rPr>
          <w:rFonts w:ascii="Calibri" w:cs="Calibri" w:eastAsia="Calibri" w:hAnsi="Calibri"/>
          <w:color w:val="333333"/>
          <w:sz w:val="22"/>
          <w:szCs w:val="22"/>
        </w:rPr>
        <w:t xml:space="preserve">RAG (Retrieval-Augmented Generation): an AI technique where the system retrieves relevant source text before generating an answer, rather than relying on the model's general training.</w:t>
      </w:r>
    </w:p>
    <w:p>
      <w:pPr>
        <w:pStyle w:val="ListParagraph"/>
        <w:numPr>
          <w:ilvl w:val="0"/>
          <w:numId w:val="2"/>
        </w:numPr>
        <w:spacing w:after="90"/>
      </w:pPr>
      <w:r>
        <w:rPr>
          <w:rFonts w:ascii="Calibri" w:cs="Calibri" w:eastAsia="Calibri" w:hAnsi="Calibri"/>
          <w:color w:val="333333"/>
          <w:sz w:val="22"/>
          <w:szCs w:val="22"/>
        </w:rPr>
        <w:t xml:space="preserve">Embedding: a numerical representation of text that allows a computer to measure how similar two passages are in meaning.</w:t>
      </w:r>
    </w:p>
    <w:p>
      <w:pPr>
        <w:pStyle w:val="ListParagraph"/>
        <w:numPr>
          <w:ilvl w:val="0"/>
          <w:numId w:val="2"/>
        </w:numPr>
        <w:spacing w:after="90"/>
      </w:pPr>
      <w:r>
        <w:rPr>
          <w:rFonts w:ascii="Calibri" w:cs="Calibri" w:eastAsia="Calibri" w:hAnsi="Calibri"/>
          <w:color w:val="333333"/>
          <w:sz w:val="22"/>
          <w:szCs w:val="22"/>
        </w:rPr>
        <w:t xml:space="preserve">Vector database: a database optimized for storing and searching embeddings by similarity.</w:t>
      </w:r>
    </w:p>
    <w:p>
      <w:pPr>
        <w:pStyle w:val="ListParagraph"/>
        <w:numPr>
          <w:ilvl w:val="0"/>
          <w:numId w:val="2"/>
        </w:numPr>
        <w:spacing w:after="90"/>
      </w:pPr>
      <w:r>
        <w:rPr>
          <w:rFonts w:ascii="Calibri" w:cs="Calibri" w:eastAsia="Calibri" w:hAnsi="Calibri"/>
          <w:color w:val="333333"/>
          <w:sz w:val="22"/>
          <w:szCs w:val="22"/>
        </w:rPr>
        <w:t xml:space="preserve">Whitelist: an explicit, approved list of sources the system is permitted to read from — anything not on the list is never ingested.</w:t>
      </w:r>
    </w:p>
    <w:p>
      <w:pPr>
        <w:pStyle w:val="ListParagraph"/>
        <w:numPr>
          <w:ilvl w:val="0"/>
          <w:numId w:val="2"/>
        </w:numPr>
        <w:spacing w:after="90"/>
      </w:pPr>
      <w:r>
        <w:rPr>
          <w:rFonts w:ascii="Calibri" w:cs="Calibri" w:eastAsia="Calibri" w:hAnsi="Calibri"/>
          <w:color w:val="333333"/>
          <w:sz w:val="22"/>
          <w:szCs w:val="22"/>
        </w:rPr>
        <w:t xml:space="preserve">Cron: a standard Linux scheduling tool used to run scripts automatically at set times.</w:t>
      </w:r>
    </w:p>
    <w:p>
      <w:pPr>
        <w:pStyle w:val="ListParagraph"/>
        <w:numPr>
          <w:ilvl w:val="0"/>
          <w:numId w:val="2"/>
        </w:numPr>
        <w:spacing w:after="90"/>
      </w:pPr>
      <w:r>
        <w:rPr>
          <w:rFonts w:ascii="Calibri" w:cs="Calibri" w:eastAsia="Calibri" w:hAnsi="Calibri"/>
          <w:color w:val="333333"/>
          <w:sz w:val="22"/>
          <w:szCs w:val="22"/>
        </w:rPr>
        <w:t xml:space="preserve">OCR (Optical Character Recognition): technology that converts scanned images of text into machine-readable 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5A5A5A"/>
        <w:sz w:val="16"/>
        <w:szCs w:val="16"/>
      </w:rPr>
      <w:t xml:space="preserve">[COMPANY NAME] — Regulatory AI Assistant: Technical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2026-09-16T11:00:37.863Z</dcterms:created>
  <dcterms:modified xsi:type="dcterms:W3CDTF">2026-09-16T11:00:37.864Z</dcterms:modified>
</cp:coreProperties>
</file>

<file path=docProps/custom.xml><?xml version="1.0" encoding="utf-8"?>
<Properties xmlns="http://schemas.openxmlformats.org/officeDocument/2006/custom-properties" xmlns:vt="http://schemas.openxmlformats.org/officeDocument/2006/docPropsVTypes"/>
</file>