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Новогодний Корпоратив</w:t>
      </w:r>
    </w:p>
    <w:p>
      <w:r>
        <w:t xml:space="preserve">Артур, спешим пригласить Вас на Новогодний Корпоратив в </w:t>
      </w:r>
      <w:r>
        <w:rPr>
          <w:b/>
        </w:rPr>
        <w:t xml:space="preserve"> Lounge Bar "Миндаль"</w:t>
      </w:r>
      <w:r>
        <w:t>, который состоится 24.12.2022 на ул. Абая 166</w:t>
      </w:r>
    </w:p>
    <w:p>
      <w:pPr>
        <w:pStyle w:val="Heading1"/>
      </w:pPr>
      <w:r>
        <w:t>Мы ждём вас, на наш праздник!!!</w:t>
      </w:r>
    </w:p>
    <w:p/>
    <w:p>
      <w:r>
        <w:drawing>
          <wp:inline xmlns:a="http://schemas.openxmlformats.org/drawingml/2006/main" xmlns:pic="http://schemas.openxmlformats.org/drawingml/2006/picture">
            <wp:extent cx="4800600" cy="2676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76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