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E767" w14:textId="77777777" w:rsidR="00993972" w:rsidRPr="001B448D" w:rsidRDefault="00993972" w:rsidP="00993972">
      <w:pPr>
        <w:spacing w:after="129"/>
        <w:jc w:val="right"/>
        <w:rPr>
          <w:rFonts w:ascii="Times New Roman" w:hAnsi="Times New Roman" w:cs="Times New Roman"/>
        </w:rPr>
      </w:pPr>
      <w:proofErr w:type="gramStart"/>
      <w:r w:rsidRPr="001B448D">
        <w:rPr>
          <w:rFonts w:ascii="Times New Roman" w:eastAsia="Times New Roman" w:hAnsi="Times New Roman" w:cs="Times New Roman"/>
          <w:sz w:val="52"/>
        </w:rPr>
        <w:t>Kazakh-British</w:t>
      </w:r>
      <w:proofErr w:type="gramEnd"/>
      <w:r w:rsidRPr="001B448D">
        <w:rPr>
          <w:rFonts w:ascii="Times New Roman" w:eastAsia="Times New Roman" w:hAnsi="Times New Roman" w:cs="Times New Roman"/>
          <w:sz w:val="52"/>
        </w:rPr>
        <w:t xml:space="preserve"> Technical University </w:t>
      </w:r>
    </w:p>
    <w:p w14:paraId="501F3F32" w14:textId="77777777" w:rsidR="00993972" w:rsidRPr="001B448D" w:rsidRDefault="00993972" w:rsidP="00993972">
      <w:pPr>
        <w:spacing w:after="0"/>
        <w:ind w:left="2053"/>
        <w:rPr>
          <w:rFonts w:ascii="Times New Roman" w:hAnsi="Times New Roman" w:cs="Times New Roman"/>
        </w:rPr>
      </w:pPr>
      <w:r w:rsidRPr="001B448D">
        <w:rPr>
          <w:rFonts w:ascii="Times New Roman" w:eastAsia="Times New Roman" w:hAnsi="Times New Roman" w:cs="Times New Roman"/>
          <w:sz w:val="40"/>
        </w:rPr>
        <w:t xml:space="preserve">Data collection and preparation </w:t>
      </w:r>
    </w:p>
    <w:p w14:paraId="59C846C4"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734FB2BA"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53888E7E"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38CF5A74"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05CDF673"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4974593E"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0F907399"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33AF606B"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sz w:val="40"/>
        </w:rPr>
        <w:t xml:space="preserve"> </w:t>
      </w:r>
    </w:p>
    <w:p w14:paraId="1DE64C0A" w14:textId="77777777" w:rsidR="00CA7BDE" w:rsidRPr="00CA7BDE" w:rsidRDefault="00CA7BDE" w:rsidP="00CA7BDE">
      <w:pPr>
        <w:spacing w:after="225"/>
        <w:jc w:val="center"/>
        <w:rPr>
          <w:rFonts w:ascii="Times New Roman" w:eastAsia="Times New Roman" w:hAnsi="Times New Roman" w:cs="Times New Roman"/>
          <w:sz w:val="32"/>
        </w:rPr>
      </w:pPr>
      <w:r w:rsidRPr="00CA7BDE">
        <w:rPr>
          <w:rFonts w:ascii="Times New Roman" w:eastAsia="Times New Roman" w:hAnsi="Times New Roman" w:cs="Times New Roman"/>
          <w:sz w:val="32"/>
        </w:rPr>
        <w:t>STUDENTS' INDEPENDENT STUDY (SIS) №1</w:t>
      </w:r>
    </w:p>
    <w:p w14:paraId="379DA66F" w14:textId="470FA04D" w:rsidR="00993972" w:rsidRDefault="00CA7BDE" w:rsidP="00CA7BDE">
      <w:pPr>
        <w:spacing w:after="0"/>
        <w:jc w:val="center"/>
        <w:rPr>
          <w:rFonts w:ascii="Times New Roman" w:eastAsia="Times New Roman" w:hAnsi="Times New Roman" w:cs="Times New Roman"/>
          <w:sz w:val="32"/>
        </w:rPr>
      </w:pPr>
      <w:r w:rsidRPr="00CA7BDE">
        <w:rPr>
          <w:rFonts w:ascii="Times New Roman" w:eastAsia="Times New Roman" w:hAnsi="Times New Roman" w:cs="Times New Roman"/>
          <w:sz w:val="32"/>
        </w:rPr>
        <w:t>«Credit Affordability &amp; Interest Rate Trends in Kazakhstan»</w:t>
      </w:r>
    </w:p>
    <w:p w14:paraId="2D799CA6" w14:textId="77777777" w:rsidR="00CA7BDE" w:rsidRPr="001B448D" w:rsidRDefault="00CA7BDE" w:rsidP="00CA7BDE">
      <w:pPr>
        <w:spacing w:after="0"/>
        <w:rPr>
          <w:rFonts w:ascii="Times New Roman" w:hAnsi="Times New Roman" w:cs="Times New Roman"/>
        </w:rPr>
      </w:pPr>
    </w:p>
    <w:p w14:paraId="3606D1F5" w14:textId="77777777" w:rsidR="00993972" w:rsidRDefault="00993972" w:rsidP="00993972">
      <w:pPr>
        <w:spacing w:after="0" w:line="414" w:lineRule="auto"/>
        <w:ind w:left="22" w:right="5109"/>
        <w:rPr>
          <w:rFonts w:ascii="Times New Roman" w:eastAsia="Times New Roman" w:hAnsi="Times New Roman" w:cs="Times New Roman"/>
          <w:b/>
          <w:sz w:val="24"/>
          <w:lang w:val="ru-RU"/>
        </w:rPr>
      </w:pPr>
      <w:r w:rsidRPr="001B448D">
        <w:rPr>
          <w:rFonts w:ascii="Times New Roman" w:eastAsia="Times New Roman" w:hAnsi="Times New Roman" w:cs="Times New Roman"/>
          <w:b/>
          <w:sz w:val="24"/>
        </w:rPr>
        <w:t>Full Name:</w:t>
      </w:r>
    </w:p>
    <w:p w14:paraId="30F8EFD7" w14:textId="5915CF70" w:rsidR="00993972" w:rsidRPr="00CA7BDE" w:rsidRDefault="00993972" w:rsidP="00993972">
      <w:pPr>
        <w:spacing w:after="0" w:line="414" w:lineRule="auto"/>
        <w:ind w:left="22" w:right="5109"/>
        <w:rPr>
          <w:rFonts w:ascii="Times New Roman" w:eastAsia="Times New Roman" w:hAnsi="Times New Roman" w:cs="Times New Roman"/>
          <w:bCs/>
          <w:sz w:val="24"/>
        </w:rPr>
      </w:pPr>
      <w:r w:rsidRPr="00CA7BDE">
        <w:rPr>
          <w:rFonts w:ascii="Times New Roman" w:eastAsia="Times New Roman" w:hAnsi="Times New Roman" w:cs="Times New Roman"/>
          <w:bCs/>
          <w:sz w:val="24"/>
        </w:rPr>
        <w:t>Kazybek Aisha</w:t>
      </w:r>
    </w:p>
    <w:p w14:paraId="3EB1717B" w14:textId="77777777" w:rsidR="00993972" w:rsidRPr="00CA7BDE" w:rsidRDefault="00993972" w:rsidP="00993972">
      <w:pPr>
        <w:spacing w:after="0" w:line="414" w:lineRule="auto"/>
        <w:ind w:left="22" w:right="5109"/>
        <w:rPr>
          <w:rFonts w:ascii="Times New Roman" w:eastAsia="Times New Roman" w:hAnsi="Times New Roman" w:cs="Times New Roman"/>
          <w:bCs/>
          <w:sz w:val="24"/>
          <w:lang w:val="ru-RU"/>
        </w:rPr>
      </w:pPr>
      <w:r w:rsidRPr="00CA7BDE">
        <w:rPr>
          <w:rFonts w:ascii="Times New Roman" w:eastAsia="Times New Roman" w:hAnsi="Times New Roman" w:cs="Times New Roman"/>
          <w:bCs/>
          <w:sz w:val="24"/>
        </w:rPr>
        <w:t xml:space="preserve">Aigerim Zhumzhumina </w:t>
      </w:r>
    </w:p>
    <w:p w14:paraId="5BA94243" w14:textId="4E999EE5" w:rsidR="00993972" w:rsidRPr="00CA7BDE" w:rsidRDefault="00993972" w:rsidP="00993972">
      <w:pPr>
        <w:spacing w:after="0" w:line="414" w:lineRule="auto"/>
        <w:ind w:left="22" w:right="5109"/>
        <w:rPr>
          <w:rFonts w:ascii="Times New Roman" w:eastAsia="Times New Roman" w:hAnsi="Times New Roman" w:cs="Times New Roman"/>
          <w:bCs/>
          <w:sz w:val="24"/>
          <w:lang w:val="ru-RU"/>
        </w:rPr>
      </w:pPr>
      <w:proofErr w:type="spellStart"/>
      <w:r w:rsidRPr="00CA7BDE">
        <w:rPr>
          <w:rFonts w:ascii="Times New Roman" w:eastAsia="Times New Roman" w:hAnsi="Times New Roman" w:cs="Times New Roman"/>
          <w:bCs/>
          <w:sz w:val="24"/>
          <w:lang w:val="ru-RU"/>
        </w:rPr>
        <w:t>Karas</w:t>
      </w:r>
      <w:proofErr w:type="spellEnd"/>
      <w:r w:rsidRPr="00CA7BDE">
        <w:rPr>
          <w:rFonts w:ascii="Times New Roman" w:eastAsia="Times New Roman" w:hAnsi="Times New Roman" w:cs="Times New Roman"/>
          <w:bCs/>
          <w:sz w:val="24"/>
          <w:lang w:val="ru-RU"/>
        </w:rPr>
        <w:t xml:space="preserve"> </w:t>
      </w:r>
      <w:proofErr w:type="spellStart"/>
      <w:r w:rsidRPr="00CA7BDE">
        <w:rPr>
          <w:rFonts w:ascii="Times New Roman" w:eastAsia="Times New Roman" w:hAnsi="Times New Roman" w:cs="Times New Roman"/>
          <w:bCs/>
          <w:sz w:val="24"/>
          <w:lang w:val="ru-RU"/>
        </w:rPr>
        <w:t>Yerassyl</w:t>
      </w:r>
      <w:proofErr w:type="spellEnd"/>
    </w:p>
    <w:p w14:paraId="7ECFDD54" w14:textId="025A8673" w:rsidR="00993972" w:rsidRPr="00CA7BDE" w:rsidRDefault="00993972" w:rsidP="00993972">
      <w:pPr>
        <w:spacing w:after="0" w:line="414" w:lineRule="auto"/>
        <w:ind w:left="22" w:right="5109"/>
        <w:rPr>
          <w:rFonts w:ascii="Times New Roman" w:eastAsia="Times New Roman" w:hAnsi="Times New Roman" w:cs="Times New Roman"/>
          <w:bCs/>
          <w:sz w:val="24"/>
          <w:lang w:val="ru-RU"/>
        </w:rPr>
      </w:pPr>
      <w:proofErr w:type="spellStart"/>
      <w:r w:rsidRPr="00CA7BDE">
        <w:rPr>
          <w:rFonts w:ascii="Times New Roman" w:eastAsia="Times New Roman" w:hAnsi="Times New Roman" w:cs="Times New Roman"/>
          <w:bCs/>
          <w:sz w:val="24"/>
          <w:lang w:val="ru-RU"/>
        </w:rPr>
        <w:t>Uteuliyeva</w:t>
      </w:r>
      <w:proofErr w:type="spellEnd"/>
      <w:r w:rsidRPr="00CA7BDE">
        <w:rPr>
          <w:rFonts w:ascii="Times New Roman" w:eastAsia="Times New Roman" w:hAnsi="Times New Roman" w:cs="Times New Roman"/>
          <w:bCs/>
          <w:sz w:val="24"/>
          <w:lang w:val="ru-RU"/>
        </w:rPr>
        <w:t xml:space="preserve"> </w:t>
      </w:r>
      <w:proofErr w:type="spellStart"/>
      <w:r w:rsidRPr="00CA7BDE">
        <w:rPr>
          <w:rFonts w:ascii="Times New Roman" w:eastAsia="Times New Roman" w:hAnsi="Times New Roman" w:cs="Times New Roman"/>
          <w:bCs/>
          <w:sz w:val="24"/>
          <w:lang w:val="ru-RU"/>
        </w:rPr>
        <w:t>Gauhar</w:t>
      </w:r>
      <w:proofErr w:type="spellEnd"/>
    </w:p>
    <w:p w14:paraId="385B4E7B" w14:textId="77777777" w:rsidR="00993972" w:rsidRPr="001B448D" w:rsidRDefault="00993972" w:rsidP="00993972">
      <w:pPr>
        <w:spacing w:after="0" w:line="414" w:lineRule="auto"/>
        <w:ind w:left="22" w:right="5109"/>
        <w:rPr>
          <w:rFonts w:ascii="Times New Roman" w:eastAsia="Times New Roman" w:hAnsi="Times New Roman" w:cs="Times New Roman"/>
          <w:b/>
          <w:sz w:val="24"/>
        </w:rPr>
      </w:pPr>
      <w:r w:rsidRPr="001B448D">
        <w:rPr>
          <w:rFonts w:ascii="Times New Roman" w:eastAsia="Times New Roman" w:hAnsi="Times New Roman" w:cs="Times New Roman"/>
          <w:b/>
          <w:sz w:val="24"/>
        </w:rPr>
        <w:t xml:space="preserve">ID: </w:t>
      </w:r>
    </w:p>
    <w:p w14:paraId="600C0004" w14:textId="792840A7" w:rsidR="00993972" w:rsidRPr="00CA7BDE" w:rsidRDefault="00993972" w:rsidP="00993972">
      <w:pPr>
        <w:spacing w:after="0" w:line="414" w:lineRule="auto"/>
        <w:ind w:left="22" w:right="5109"/>
        <w:rPr>
          <w:rFonts w:ascii="Times New Roman" w:eastAsia="Times New Roman" w:hAnsi="Times New Roman" w:cs="Times New Roman"/>
          <w:bCs/>
          <w:sz w:val="24"/>
        </w:rPr>
      </w:pPr>
      <w:r w:rsidRPr="00CA7BDE">
        <w:rPr>
          <w:rFonts w:ascii="Times New Roman" w:eastAsia="Times New Roman" w:hAnsi="Times New Roman" w:cs="Times New Roman"/>
          <w:bCs/>
          <w:sz w:val="24"/>
          <w:lang w:val="ru-RU"/>
        </w:rPr>
        <w:t>23</w:t>
      </w:r>
      <w:r w:rsidRPr="00CA7BDE">
        <w:rPr>
          <w:rFonts w:ascii="Times New Roman" w:eastAsia="Times New Roman" w:hAnsi="Times New Roman" w:cs="Times New Roman"/>
          <w:bCs/>
          <w:sz w:val="24"/>
        </w:rPr>
        <w:t>B031323</w:t>
      </w:r>
    </w:p>
    <w:p w14:paraId="21DE9383" w14:textId="47A6AB72" w:rsidR="00993972" w:rsidRPr="00CA7BDE" w:rsidRDefault="00993972" w:rsidP="00993972">
      <w:pPr>
        <w:spacing w:after="0" w:line="414" w:lineRule="auto"/>
        <w:ind w:left="22" w:right="5109"/>
        <w:rPr>
          <w:rFonts w:ascii="Times New Roman" w:eastAsia="Times New Roman" w:hAnsi="Times New Roman" w:cs="Times New Roman"/>
          <w:bCs/>
          <w:sz w:val="24"/>
          <w:lang w:val="ru-RU"/>
        </w:rPr>
      </w:pPr>
      <w:r w:rsidRPr="00CA7BDE">
        <w:rPr>
          <w:rFonts w:ascii="Times New Roman" w:eastAsia="Times New Roman" w:hAnsi="Times New Roman" w:cs="Times New Roman"/>
          <w:bCs/>
          <w:sz w:val="24"/>
        </w:rPr>
        <w:t xml:space="preserve">23B031309 </w:t>
      </w:r>
    </w:p>
    <w:p w14:paraId="6FFAEEB9" w14:textId="0986BE2E" w:rsidR="00993972" w:rsidRPr="00CA7BDE" w:rsidRDefault="00993972" w:rsidP="00993972">
      <w:pPr>
        <w:spacing w:after="0" w:line="414" w:lineRule="auto"/>
        <w:ind w:left="22" w:right="5109"/>
        <w:rPr>
          <w:rFonts w:ascii="Times New Roman" w:hAnsi="Times New Roman" w:cs="Times New Roman"/>
          <w:bCs/>
        </w:rPr>
      </w:pPr>
      <w:r w:rsidRPr="00CA7BDE">
        <w:rPr>
          <w:rFonts w:ascii="Times New Roman" w:hAnsi="Times New Roman" w:cs="Times New Roman"/>
          <w:bCs/>
        </w:rPr>
        <w:t>23B031334</w:t>
      </w:r>
    </w:p>
    <w:p w14:paraId="1043AF94" w14:textId="61887362" w:rsidR="00993972" w:rsidRPr="00CA7BDE" w:rsidRDefault="00CA7BDE" w:rsidP="00993972">
      <w:pPr>
        <w:spacing w:after="0" w:line="414" w:lineRule="auto"/>
        <w:ind w:left="22" w:right="5109"/>
        <w:rPr>
          <w:rFonts w:ascii="Times New Roman" w:hAnsi="Times New Roman" w:cs="Times New Roman"/>
          <w:bCs/>
        </w:rPr>
      </w:pPr>
      <w:r w:rsidRPr="00CA7BDE">
        <w:rPr>
          <w:rFonts w:ascii="Times New Roman" w:hAnsi="Times New Roman" w:cs="Times New Roman"/>
          <w:bCs/>
        </w:rPr>
        <w:t>24B032089</w:t>
      </w:r>
    </w:p>
    <w:p w14:paraId="72CDBF5C"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5A332428"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76FEF668"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2E3FF8DB"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673AB3CF"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52110CA0"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731E3CB3"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6D66947C" w14:textId="302FB904" w:rsidR="00993972" w:rsidRPr="001B448D" w:rsidRDefault="00993972" w:rsidP="00CA7BDE">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135B4EEA" w14:textId="77777777" w:rsidR="00993972" w:rsidRPr="001B448D" w:rsidRDefault="00993972" w:rsidP="00993972">
      <w:pPr>
        <w:spacing w:after="48"/>
        <w:rPr>
          <w:rFonts w:ascii="Times New Roman" w:hAnsi="Times New Roman" w:cs="Times New Roman"/>
        </w:rPr>
      </w:pPr>
      <w:r w:rsidRPr="001B448D">
        <w:rPr>
          <w:rFonts w:ascii="Times New Roman" w:eastAsia="Times New Roman" w:hAnsi="Times New Roman" w:cs="Times New Roman"/>
          <w:b/>
          <w:sz w:val="24"/>
        </w:rPr>
        <w:t xml:space="preserve"> </w:t>
      </w:r>
    </w:p>
    <w:p w14:paraId="30EF0FD8" w14:textId="77777777" w:rsidR="00993972" w:rsidRPr="001B448D" w:rsidRDefault="00993972" w:rsidP="00993972">
      <w:pPr>
        <w:spacing w:after="0"/>
        <w:rPr>
          <w:rFonts w:ascii="Times New Roman" w:hAnsi="Times New Roman" w:cs="Times New Roman"/>
        </w:rPr>
      </w:pPr>
      <w:r w:rsidRPr="001B448D">
        <w:rPr>
          <w:rFonts w:ascii="Times New Roman" w:eastAsia="Times New Roman" w:hAnsi="Times New Roman" w:cs="Times New Roman"/>
          <w:b/>
          <w:sz w:val="24"/>
        </w:rPr>
        <w:t xml:space="preserve"> </w:t>
      </w:r>
    </w:p>
    <w:p w14:paraId="5E3FAB15" w14:textId="544C9280" w:rsidR="00993972" w:rsidRPr="001B448D" w:rsidRDefault="00993972" w:rsidP="00993972">
      <w:pPr>
        <w:spacing w:after="178"/>
        <w:ind w:left="741" w:right="1"/>
        <w:jc w:val="center"/>
        <w:rPr>
          <w:rFonts w:ascii="Times New Roman" w:hAnsi="Times New Roman" w:cs="Times New Roman"/>
        </w:rPr>
      </w:pPr>
      <w:r w:rsidRPr="001B448D">
        <w:rPr>
          <w:rFonts w:ascii="Times New Roman" w:eastAsia="Times New Roman" w:hAnsi="Times New Roman" w:cs="Times New Roman"/>
          <w:b/>
          <w:sz w:val="24"/>
        </w:rPr>
        <w:t>0</w:t>
      </w:r>
      <w:r w:rsidR="00CA7BDE">
        <w:rPr>
          <w:rFonts w:ascii="Times New Roman" w:eastAsia="Times New Roman" w:hAnsi="Times New Roman" w:cs="Times New Roman"/>
          <w:b/>
          <w:sz w:val="24"/>
        </w:rPr>
        <w:t>7</w:t>
      </w:r>
      <w:r w:rsidRPr="001B448D">
        <w:rPr>
          <w:rFonts w:ascii="Times New Roman" w:eastAsia="Times New Roman" w:hAnsi="Times New Roman" w:cs="Times New Roman"/>
          <w:b/>
          <w:sz w:val="24"/>
        </w:rPr>
        <w:t>.</w:t>
      </w:r>
      <w:r w:rsidR="00CA7BDE">
        <w:rPr>
          <w:rFonts w:ascii="Times New Roman" w:eastAsia="Times New Roman" w:hAnsi="Times New Roman" w:cs="Times New Roman"/>
          <w:b/>
          <w:sz w:val="24"/>
        </w:rPr>
        <w:t>10</w:t>
      </w:r>
      <w:r w:rsidRPr="001B448D">
        <w:rPr>
          <w:rFonts w:ascii="Times New Roman" w:eastAsia="Times New Roman" w:hAnsi="Times New Roman" w:cs="Times New Roman"/>
          <w:b/>
          <w:sz w:val="24"/>
        </w:rPr>
        <w:t>.2026</w:t>
      </w:r>
    </w:p>
    <w:p w14:paraId="4B9327C2" w14:textId="77777777" w:rsidR="00993972" w:rsidRPr="001B448D" w:rsidRDefault="00993972" w:rsidP="00993972">
      <w:pPr>
        <w:spacing w:after="178"/>
        <w:ind w:left="741"/>
        <w:jc w:val="center"/>
        <w:rPr>
          <w:rFonts w:ascii="Times New Roman" w:hAnsi="Times New Roman" w:cs="Times New Roman"/>
        </w:rPr>
      </w:pPr>
      <w:r w:rsidRPr="001B448D">
        <w:rPr>
          <w:rFonts w:ascii="Times New Roman" w:eastAsia="Times New Roman" w:hAnsi="Times New Roman" w:cs="Times New Roman"/>
          <w:b/>
          <w:sz w:val="24"/>
        </w:rPr>
        <w:t xml:space="preserve">Almaty </w:t>
      </w:r>
    </w:p>
    <w:p w14:paraId="448262C7" w14:textId="28F6D371"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lastRenderedPageBreak/>
        <w:t>1. Introduction</w:t>
      </w:r>
    </w:p>
    <w:p w14:paraId="5914589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This project examines how affordable consumer credit is in Kazakhstan. Two questions guide the analysis:</w:t>
      </w:r>
    </w:p>
    <w:p w14:paraId="7C967835" w14:textId="77777777" w:rsidR="00032A51" w:rsidRPr="00CA7BDE" w:rsidRDefault="00000000">
      <w:pPr>
        <w:pStyle w:val="a4"/>
        <w:numPr>
          <w:ilvl w:val="0"/>
          <w:numId w:val="2"/>
        </w:numPr>
        <w:rPr>
          <w:rFonts w:ascii="Times New Roman" w:hAnsi="Times New Roman" w:cs="Times New Roman"/>
          <w:sz w:val="24"/>
          <w:szCs w:val="24"/>
        </w:rPr>
      </w:pPr>
      <w:r w:rsidRPr="00CA7BDE">
        <w:rPr>
          <w:rFonts w:ascii="Times New Roman" w:hAnsi="Times New Roman" w:cs="Times New Roman"/>
          <w:sz w:val="24"/>
          <w:szCs w:val="24"/>
        </w:rPr>
        <w:t>How have rates on loans to individuals behaved over the long run relative to inflation and other macroeconomic indicators (2005–2026)?</w:t>
      </w:r>
    </w:p>
    <w:p w14:paraId="338E78AC" w14:textId="77777777" w:rsidR="00032A51" w:rsidRPr="00CA7BDE" w:rsidRDefault="00000000">
      <w:pPr>
        <w:pStyle w:val="a4"/>
        <w:numPr>
          <w:ilvl w:val="0"/>
          <w:numId w:val="2"/>
        </w:numPr>
        <w:rPr>
          <w:rFonts w:ascii="Times New Roman" w:hAnsi="Times New Roman" w:cs="Times New Roman"/>
          <w:sz w:val="24"/>
          <w:szCs w:val="24"/>
        </w:rPr>
      </w:pPr>
      <w:r w:rsidRPr="00CA7BDE">
        <w:rPr>
          <w:rFonts w:ascii="Times New Roman" w:hAnsi="Times New Roman" w:cs="Times New Roman"/>
          <w:sz w:val="24"/>
          <w:szCs w:val="24"/>
        </w:rPr>
        <w:t>Today, how expensive are consumer loans at individual banks compared with inflation, the National Bank of Kazakhstan (NBK) base rate and the NBK loan-rate reference?</w:t>
      </w:r>
    </w:p>
    <w:p w14:paraId="7BB83C3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 xml:space="preserve">The project covers the full data pipeline: collecting data from three different sources (an API, a web page and an Excel file), cleaning and merging it, and </w:t>
      </w:r>
      <w:proofErr w:type="spellStart"/>
      <w:r w:rsidRPr="00CA7BDE">
        <w:rPr>
          <w:rFonts w:ascii="Times New Roman" w:hAnsi="Times New Roman" w:cs="Times New Roman"/>
          <w:sz w:val="24"/>
          <w:szCs w:val="24"/>
        </w:rPr>
        <w:t>analysing</w:t>
      </w:r>
      <w:proofErr w:type="spellEnd"/>
      <w:r w:rsidRPr="00CA7BDE">
        <w:rPr>
          <w:rFonts w:ascii="Times New Roman" w:hAnsi="Times New Roman" w:cs="Times New Roman"/>
          <w:sz w:val="24"/>
          <w:szCs w:val="24"/>
        </w:rPr>
        <w:t xml:space="preserve"> and </w:t>
      </w:r>
      <w:proofErr w:type="spellStart"/>
      <w:r w:rsidRPr="00CA7BDE">
        <w:rPr>
          <w:rFonts w:ascii="Times New Roman" w:hAnsi="Times New Roman" w:cs="Times New Roman"/>
          <w:sz w:val="24"/>
          <w:szCs w:val="24"/>
        </w:rPr>
        <w:t>visualising</w:t>
      </w:r>
      <w:proofErr w:type="spellEnd"/>
      <w:r w:rsidRPr="00CA7BDE">
        <w:rPr>
          <w:rFonts w:ascii="Times New Roman" w:hAnsi="Times New Roman" w:cs="Times New Roman"/>
          <w:sz w:val="24"/>
          <w:szCs w:val="24"/>
        </w:rPr>
        <w:t xml:space="preserve"> the result in Python.</w:t>
      </w:r>
    </w:p>
    <w:p w14:paraId="65EB1319" w14:textId="77777777"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t>2. Data Sources and Collection</w:t>
      </w:r>
    </w:p>
    <w:tbl>
      <w:tblPr>
        <w:tblStyle w:val="a8"/>
        <w:tblW w:w="0" w:type="auto"/>
        <w:tblLayout w:type="fixed"/>
        <w:tblLook w:val="0420" w:firstRow="1" w:lastRow="0" w:firstColumn="0" w:lastColumn="0" w:noHBand="0" w:noVBand="1"/>
      </w:tblPr>
      <w:tblGrid>
        <w:gridCol w:w="2340"/>
        <w:gridCol w:w="2340"/>
        <w:gridCol w:w="2340"/>
        <w:gridCol w:w="2340"/>
      </w:tblGrid>
      <w:tr w:rsidR="00032A51" w:rsidRPr="00CA7BDE" w14:paraId="55EA0062" w14:textId="77777777">
        <w:trPr>
          <w:tblHeader/>
        </w:trPr>
        <w:tc>
          <w:tcPr>
            <w:tcW w:w="2340" w:type="dxa"/>
            <w:shd w:val="clear" w:color="auto" w:fill="F2F2F2"/>
          </w:tcPr>
          <w:p w14:paraId="06488F5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Source</w:t>
            </w:r>
          </w:p>
        </w:tc>
        <w:tc>
          <w:tcPr>
            <w:tcW w:w="2340" w:type="dxa"/>
            <w:shd w:val="clear" w:color="auto" w:fill="F2F2F2"/>
          </w:tcPr>
          <w:p w14:paraId="28B077C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Method</w:t>
            </w:r>
          </w:p>
        </w:tc>
        <w:tc>
          <w:tcPr>
            <w:tcW w:w="2340" w:type="dxa"/>
            <w:shd w:val="clear" w:color="auto" w:fill="F2F2F2"/>
          </w:tcPr>
          <w:p w14:paraId="14EF6EA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Content</w:t>
            </w:r>
          </w:p>
        </w:tc>
        <w:tc>
          <w:tcPr>
            <w:tcW w:w="2340" w:type="dxa"/>
            <w:shd w:val="clear" w:color="auto" w:fill="F2F2F2"/>
          </w:tcPr>
          <w:p w14:paraId="4074A4F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Coverage</w:t>
            </w:r>
          </w:p>
        </w:tc>
      </w:tr>
      <w:tr w:rsidR="00032A51" w:rsidRPr="00CA7BDE" w14:paraId="227B74D9" w14:textId="77777777">
        <w:tc>
          <w:tcPr>
            <w:tcW w:w="2340" w:type="dxa"/>
          </w:tcPr>
          <w:p w14:paraId="0D1D893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 xml:space="preserve">World Bank WDI via </w:t>
            </w:r>
            <w:proofErr w:type="spellStart"/>
            <w:r w:rsidRPr="00CA7BDE">
              <w:rPr>
                <w:rFonts w:ascii="Times New Roman" w:hAnsi="Times New Roman" w:cs="Times New Roman"/>
                <w:sz w:val="24"/>
                <w:szCs w:val="24"/>
              </w:rPr>
              <w:t>DBnomics</w:t>
            </w:r>
            <w:proofErr w:type="spellEnd"/>
          </w:p>
        </w:tc>
        <w:tc>
          <w:tcPr>
            <w:tcW w:w="2340" w:type="dxa"/>
          </w:tcPr>
          <w:p w14:paraId="4125E61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REST API (</w:t>
            </w:r>
            <w:r w:rsidRPr="00CA7BDE">
              <w:rPr>
                <w:rStyle w:val="CodeChar"/>
                <w:rFonts w:ascii="Times New Roman" w:hAnsi="Times New Roman" w:cs="Times New Roman"/>
                <w:sz w:val="24"/>
                <w:szCs w:val="24"/>
              </w:rPr>
              <w:t>requests</w:t>
            </w:r>
            <w:r w:rsidRPr="00CA7BDE">
              <w:rPr>
                <w:rFonts w:ascii="Times New Roman" w:hAnsi="Times New Roman" w:cs="Times New Roman"/>
                <w:sz w:val="24"/>
                <w:szCs w:val="24"/>
              </w:rPr>
              <w:t>, JSON)</w:t>
            </w:r>
          </w:p>
        </w:tc>
        <w:tc>
          <w:tcPr>
            <w:tcW w:w="2340" w:type="dxa"/>
          </w:tcPr>
          <w:p w14:paraId="65F9A5E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Inflation (CPI, %), GDP per capita (USD), unemployment (%) for Kazakhstan</w:t>
            </w:r>
          </w:p>
        </w:tc>
        <w:tc>
          <w:tcPr>
            <w:tcW w:w="2340" w:type="dxa"/>
          </w:tcPr>
          <w:p w14:paraId="355F423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2005–2023, annual, 19 observations per indicator</w:t>
            </w:r>
          </w:p>
        </w:tc>
      </w:tr>
      <w:tr w:rsidR="00032A51" w:rsidRPr="00CA7BDE" w14:paraId="5930035F" w14:textId="77777777">
        <w:tc>
          <w:tcPr>
            <w:tcW w:w="2340" w:type="dxa"/>
          </w:tcPr>
          <w:p w14:paraId="753E65E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bankchart.kz</w:t>
            </w:r>
          </w:p>
        </w:tc>
        <w:tc>
          <w:tcPr>
            <w:tcW w:w="2340" w:type="dxa"/>
          </w:tcPr>
          <w:p w14:paraId="75D803D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Web scraping (</w:t>
            </w:r>
            <w:r w:rsidRPr="00CA7BDE">
              <w:rPr>
                <w:rStyle w:val="CodeChar"/>
                <w:rFonts w:ascii="Times New Roman" w:hAnsi="Times New Roman" w:cs="Times New Roman"/>
                <w:sz w:val="24"/>
                <w:szCs w:val="24"/>
              </w:rPr>
              <w:t>requests</w:t>
            </w:r>
            <w:r w:rsidRPr="00CA7BDE">
              <w:rPr>
                <w:rFonts w:ascii="Times New Roman" w:hAnsi="Times New Roman" w:cs="Times New Roman"/>
                <w:sz w:val="24"/>
                <w:szCs w:val="24"/>
              </w:rPr>
              <w:t xml:space="preserve">, </w:t>
            </w:r>
            <w:proofErr w:type="spellStart"/>
            <w:r w:rsidRPr="00CA7BDE">
              <w:rPr>
                <w:rStyle w:val="CodeChar"/>
                <w:rFonts w:ascii="Times New Roman" w:hAnsi="Times New Roman" w:cs="Times New Roman"/>
                <w:sz w:val="24"/>
                <w:szCs w:val="24"/>
              </w:rPr>
              <w:t>BeautifulSoup</w:t>
            </w:r>
            <w:proofErr w:type="spellEnd"/>
            <w:r w:rsidRPr="00CA7BDE">
              <w:rPr>
                <w:rFonts w:ascii="Times New Roman" w:hAnsi="Times New Roman" w:cs="Times New Roman"/>
                <w:sz w:val="24"/>
                <w:szCs w:val="24"/>
              </w:rPr>
              <w:t>)</w:t>
            </w:r>
          </w:p>
        </w:tc>
        <w:tc>
          <w:tcPr>
            <w:tcW w:w="2340" w:type="dxa"/>
          </w:tcPr>
          <w:p w14:paraId="7B174BE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Consumer cash-loan ratings: effective and nominal rates by bank</w:t>
            </w:r>
          </w:p>
        </w:tc>
        <w:tc>
          <w:tcPr>
            <w:tcW w:w="2340" w:type="dxa"/>
          </w:tcPr>
          <w:p w14:paraId="47C7DB2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11 banks, rating dated 31.07.2026</w:t>
            </w:r>
          </w:p>
        </w:tc>
      </w:tr>
      <w:tr w:rsidR="00032A51" w:rsidRPr="00CA7BDE" w14:paraId="6F668F29" w14:textId="77777777">
        <w:tc>
          <w:tcPr>
            <w:tcW w:w="2340" w:type="dxa"/>
          </w:tcPr>
          <w:p w14:paraId="21FE2BE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National Bank of Kazakhstan</w:t>
            </w:r>
          </w:p>
        </w:tc>
        <w:tc>
          <w:tcPr>
            <w:tcW w:w="2340" w:type="dxa"/>
          </w:tcPr>
          <w:p w14:paraId="2EE809D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Excel file (</w:t>
            </w:r>
            <w:proofErr w:type="spellStart"/>
            <w:proofErr w:type="gramStart"/>
            <w:r w:rsidRPr="00CA7BDE">
              <w:rPr>
                <w:rStyle w:val="CodeChar"/>
                <w:rFonts w:ascii="Times New Roman" w:hAnsi="Times New Roman" w:cs="Times New Roman"/>
                <w:sz w:val="24"/>
                <w:szCs w:val="24"/>
              </w:rPr>
              <w:t>pandas.read</w:t>
            </w:r>
            <w:proofErr w:type="gramEnd"/>
            <w:r w:rsidRPr="00CA7BDE">
              <w:rPr>
                <w:rStyle w:val="CodeChar"/>
                <w:rFonts w:ascii="Times New Roman" w:hAnsi="Times New Roman" w:cs="Times New Roman"/>
                <w:sz w:val="24"/>
                <w:szCs w:val="24"/>
              </w:rPr>
              <w:t>_excel</w:t>
            </w:r>
            <w:proofErr w:type="spellEnd"/>
            <w:r w:rsidRPr="00CA7BDE">
              <w:rPr>
                <w:rFonts w:ascii="Times New Roman" w:hAnsi="Times New Roman" w:cs="Times New Roman"/>
                <w:sz w:val="24"/>
                <w:szCs w:val="24"/>
              </w:rPr>
              <w:t>)</w:t>
            </w:r>
          </w:p>
        </w:tc>
        <w:tc>
          <w:tcPr>
            <w:tcW w:w="2340" w:type="dxa"/>
          </w:tcPr>
          <w:p w14:paraId="16CDBE9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Monthly NBK weighted average rate on loans to individuals, including individual entrepreneurs, in national currency (KZT), %</w:t>
            </w:r>
          </w:p>
        </w:tc>
        <w:tc>
          <w:tcPr>
            <w:tcW w:w="2340" w:type="dxa"/>
          </w:tcPr>
          <w:p w14:paraId="6E167A8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January 2005 – August 2026</w:t>
            </w:r>
          </w:p>
        </w:tc>
      </w:tr>
    </w:tbl>
    <w:p w14:paraId="4C8F121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Two values were entered manually as current reference points: inflation of 9.8% (August 2026) and the NBK base rate of 16.25% (as of 07.09.2026).</w:t>
      </w:r>
    </w:p>
    <w:p w14:paraId="27B6532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b/>
          <w:sz w:val="24"/>
          <w:szCs w:val="24"/>
        </w:rPr>
        <w:t>Ethical scraping.</w:t>
      </w:r>
      <w:r w:rsidRPr="00CA7BDE">
        <w:rPr>
          <w:rFonts w:ascii="Times New Roman" w:hAnsi="Times New Roman" w:cs="Times New Roman"/>
          <w:sz w:val="24"/>
          <w:szCs w:val="24"/>
        </w:rPr>
        <w:t xml:space="preserve"> Before scraping bankchart.kz, the script downloaded </w:t>
      </w:r>
      <w:r w:rsidRPr="00CA7BDE">
        <w:rPr>
          <w:rStyle w:val="CodeChar"/>
          <w:rFonts w:ascii="Times New Roman" w:hAnsi="Times New Roman" w:cs="Times New Roman"/>
          <w:sz w:val="24"/>
          <w:szCs w:val="24"/>
        </w:rPr>
        <w:t>robots.txt</w:t>
      </w:r>
      <w:r w:rsidRPr="00CA7BDE">
        <w:rPr>
          <w:rFonts w:ascii="Times New Roman" w:hAnsi="Times New Roman" w:cs="Times New Roman"/>
          <w:sz w:val="24"/>
          <w:szCs w:val="24"/>
        </w:rPr>
        <w:t xml:space="preserve"> and checked it with </w:t>
      </w:r>
      <w:proofErr w:type="spellStart"/>
      <w:r w:rsidRPr="00CA7BDE">
        <w:rPr>
          <w:rStyle w:val="CodeChar"/>
          <w:rFonts w:ascii="Times New Roman" w:hAnsi="Times New Roman" w:cs="Times New Roman"/>
          <w:sz w:val="24"/>
          <w:szCs w:val="24"/>
        </w:rPr>
        <w:t>RobotFileParser</w:t>
      </w:r>
      <w:proofErr w:type="spellEnd"/>
      <w:r w:rsidRPr="00CA7BDE">
        <w:rPr>
          <w:rFonts w:ascii="Times New Roman" w:hAnsi="Times New Roman" w:cs="Times New Roman"/>
          <w:sz w:val="24"/>
          <w:szCs w:val="24"/>
        </w:rPr>
        <w:t>. The check confirmed that scraping the ratings page is allowed. The scraper also identifies itself with a descriptive User-Agent and uses timeouts and status checks (</w:t>
      </w:r>
      <w:proofErr w:type="spellStart"/>
      <w:r w:rsidRPr="00CA7BDE">
        <w:rPr>
          <w:rStyle w:val="CodeChar"/>
          <w:rFonts w:ascii="Times New Roman" w:hAnsi="Times New Roman" w:cs="Times New Roman"/>
          <w:sz w:val="24"/>
          <w:szCs w:val="24"/>
        </w:rPr>
        <w:t>raise_for_status</w:t>
      </w:r>
      <w:proofErr w:type="spellEnd"/>
      <w:r w:rsidRPr="00CA7BDE">
        <w:rPr>
          <w:rFonts w:ascii="Times New Roman" w:hAnsi="Times New Roman" w:cs="Times New Roman"/>
          <w:sz w:val="24"/>
          <w:szCs w:val="24"/>
        </w:rPr>
        <w:t>).</w:t>
      </w:r>
    </w:p>
    <w:p w14:paraId="18A1B620" w14:textId="77777777"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t>3. Data Preparation</w:t>
      </w:r>
    </w:p>
    <w:p w14:paraId="0ED495C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b/>
          <w:sz w:val="24"/>
          <w:szCs w:val="24"/>
        </w:rPr>
        <w:t>World Bank data.</w:t>
      </w:r>
      <w:r w:rsidRPr="00CA7BDE">
        <w:rPr>
          <w:rFonts w:ascii="Times New Roman" w:hAnsi="Times New Roman" w:cs="Times New Roman"/>
          <w:sz w:val="24"/>
          <w:szCs w:val="24"/>
        </w:rPr>
        <w:t xml:space="preserve"> The three indicators were reshaped from long to wide format (one row per year). All columns were converted to numeric types. The check found no missing values and no duplicated years in the 2005–2023 range.</w:t>
      </w:r>
    </w:p>
    <w:p w14:paraId="0C820CC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b/>
          <w:sz w:val="24"/>
          <w:szCs w:val="24"/>
        </w:rPr>
        <w:t>Bank data.</w:t>
      </w:r>
      <w:r w:rsidRPr="00CA7BDE">
        <w:rPr>
          <w:rFonts w:ascii="Times New Roman" w:hAnsi="Times New Roman" w:cs="Times New Roman"/>
          <w:sz w:val="24"/>
          <w:szCs w:val="24"/>
        </w:rPr>
        <w:t xml:space="preserve"> Each bank's block of text was parsed with regular expressions to extract the effective rate ("real rate") and the nominal rate. Decimal commas were converted to points, and values </w:t>
      </w:r>
      <w:r w:rsidRPr="00CA7BDE">
        <w:rPr>
          <w:rFonts w:ascii="Times New Roman" w:hAnsi="Times New Roman" w:cs="Times New Roman"/>
          <w:sz w:val="24"/>
          <w:szCs w:val="24"/>
        </w:rPr>
        <w:lastRenderedPageBreak/>
        <w:t xml:space="preserve">were checked to lie between 0 and 100. The bank name "Bank RBK" was </w:t>
      </w:r>
      <w:proofErr w:type="spellStart"/>
      <w:r w:rsidRPr="00CA7BDE">
        <w:rPr>
          <w:rFonts w:ascii="Times New Roman" w:hAnsi="Times New Roman" w:cs="Times New Roman"/>
          <w:sz w:val="24"/>
          <w:szCs w:val="24"/>
        </w:rPr>
        <w:t>standardised</w:t>
      </w:r>
      <w:proofErr w:type="spellEnd"/>
      <w:r w:rsidRPr="00CA7BDE">
        <w:rPr>
          <w:rFonts w:ascii="Times New Roman" w:hAnsi="Times New Roman" w:cs="Times New Roman"/>
          <w:sz w:val="24"/>
          <w:szCs w:val="24"/>
        </w:rPr>
        <w:t xml:space="preserve">. A derived variable, </w:t>
      </w:r>
      <w:proofErr w:type="spellStart"/>
      <w:r w:rsidRPr="00CA7BDE">
        <w:rPr>
          <w:rStyle w:val="CodeChar"/>
          <w:rFonts w:ascii="Times New Roman" w:hAnsi="Times New Roman" w:cs="Times New Roman"/>
          <w:sz w:val="24"/>
          <w:szCs w:val="24"/>
        </w:rPr>
        <w:t>commission_effect</w:t>
      </w:r>
      <w:proofErr w:type="spellEnd"/>
      <w:r w:rsidRPr="00CA7BDE">
        <w:rPr>
          <w:rFonts w:ascii="Times New Roman" w:hAnsi="Times New Roman" w:cs="Times New Roman"/>
          <w:sz w:val="24"/>
          <w:szCs w:val="24"/>
        </w:rPr>
        <w:t xml:space="preserve"> (effective minus nominal rate), measures the extra cost added by fees and commissions. After cleaning there were no missing values or duplicates among the 11 banks.</w:t>
      </w:r>
    </w:p>
    <w:p w14:paraId="74318F0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b/>
          <w:sz w:val="24"/>
          <w:szCs w:val="24"/>
        </w:rPr>
        <w:t>NBK data.</w:t>
      </w:r>
      <w:r w:rsidRPr="00CA7BDE">
        <w:rPr>
          <w:rFonts w:ascii="Times New Roman" w:hAnsi="Times New Roman" w:cs="Times New Roman"/>
          <w:sz w:val="24"/>
          <w:szCs w:val="24"/>
        </w:rPr>
        <w:t xml:space="preserve"> The notebook loads the supplied workbook from the project folder and checks the file, sheet and indicator row. Month labels and rates are converted to appropriate types. It checks missing values, exact duplicates, conflicting monthly rates and gaps in the monthly calendar. The prepared series contains 260 consecutive months (January 2005–August 2026). Annual figures are simple means of monthly rates, with month counts and a full-year flag; 2026 covers January–August only (8 months).</w:t>
      </w:r>
      <w:proofErr w:type="gramStart"/>
      <w:r w:rsidRPr="00CA7BDE">
        <w:rPr>
          <w:rFonts w:ascii="Times New Roman" w:hAnsi="Times New Roman" w:cs="Times New Roman"/>
          <w:sz w:val="24"/>
          <w:szCs w:val="24"/>
        </w:rPr>
        <w:t/>
      </w:r>
      <w:proofErr w:type="gramEnd"/>
      <w:r w:rsidRPr="00CA7BDE">
        <w:rPr>
          <w:rFonts w:ascii="Times New Roman" w:hAnsi="Times New Roman" w:cs="Times New Roman"/>
          <w:sz w:val="24"/>
          <w:szCs w:val="24"/>
        </w:rPr>
        <w:t/>
      </w:r>
    </w:p>
    <w:p w14:paraId="2C47E93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b/>
          <w:sz w:val="24"/>
          <w:szCs w:val="24"/>
        </w:rPr>
        <w:t>Merging.</w:t>
      </w:r>
      <w:r w:rsidRPr="00CA7BDE">
        <w:rPr>
          <w:rFonts w:ascii="Times New Roman" w:hAnsi="Times New Roman" w:cs="Times New Roman"/>
          <w:sz w:val="24"/>
          <w:szCs w:val="24"/>
        </w:rPr>
        <w:t xml:space="preserve"> The annual NBK rates were outer-joined to the World Bank table by year, giving a 22-row yearly dataset (2005–2026). A new variable, </w:t>
      </w:r>
      <w:proofErr w:type="spellStart"/>
      <w:r w:rsidRPr="00CA7BDE">
        <w:rPr>
          <w:rStyle w:val="CodeChar"/>
          <w:rFonts w:ascii="Times New Roman" w:hAnsi="Times New Roman" w:cs="Times New Roman"/>
          <w:sz w:val="24"/>
          <w:szCs w:val="24"/>
        </w:rPr>
        <w:t>rate_minus_inflation</w:t>
      </w:r>
      <w:proofErr w:type="spellEnd"/>
      <w:r w:rsidRPr="00CA7BDE">
        <w:rPr>
          <w:rFonts w:ascii="Times New Roman" w:hAnsi="Times New Roman" w:cs="Times New Roman"/>
          <w:sz w:val="24"/>
          <w:szCs w:val="24"/>
        </w:rPr>
        <w:t>, is the average loan rate minus inflation, a simple proxy for the real cost of credit. The bank table was enriched with three spreads: effective rate minus inflation, minus the base rate and minus the NBK monthly weighted average rate on loans to individuals, used as a reference for a different loan-rate measure.</w:t>
      </w:r>
    </w:p>
    <w:p w14:paraId="5DCB94C3" w14:textId="77777777"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t>4. Results</w:t>
      </w:r>
    </w:p>
    <w:p w14:paraId="6616E13E" w14:textId="77777777" w:rsidR="00032A51" w:rsidRPr="00CA7BDE" w:rsidRDefault="00000000">
      <w:pPr>
        <w:pStyle w:val="3"/>
        <w:rPr>
          <w:rFonts w:ascii="Times New Roman" w:hAnsi="Times New Roman" w:cs="Times New Roman"/>
          <w:szCs w:val="24"/>
        </w:rPr>
      </w:pPr>
      <w:r w:rsidRPr="00CA7BDE">
        <w:rPr>
          <w:rFonts w:ascii="Times New Roman" w:hAnsi="Times New Roman" w:cs="Times New Roman"/>
          <w:szCs w:val="24"/>
        </w:rPr>
        <w:t>4.1 Long-run trends (2005–2026)</w:t>
      </w:r>
    </w:p>
    <w:p w14:paraId="16CBF0A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The annual mean NBK rate on loans to individuals was relatively stable compared with inflation.</w:t>
      </w:r>
    </w:p>
    <w:tbl>
      <w:tblPr>
        <w:tblStyle w:val="a8"/>
        <w:tblW w:w="0" w:type="auto"/>
        <w:tblLayout w:type="fixed"/>
        <w:tblLook w:val="0420" w:firstRow="1" w:lastRow="0" w:firstColumn="0" w:lastColumn="0" w:noHBand="0" w:noVBand="1"/>
      </w:tblPr>
      <w:tblGrid>
        <w:gridCol w:w="2340"/>
        <w:gridCol w:w="2340"/>
        <w:gridCol w:w="2340"/>
        <w:gridCol w:w="2340"/>
      </w:tblGrid>
      <w:tr w:rsidR="00032A51" w:rsidRPr="00CA7BDE" w14:paraId="2D4F3505" w14:textId="77777777">
        <w:trPr>
          <w:tblHeader/>
        </w:trPr>
        <w:tc>
          <w:tcPr>
            <w:tcW w:w="2340" w:type="dxa"/>
            <w:shd w:val="clear" w:color="auto" w:fill="F2F2F2"/>
          </w:tcPr>
          <w:p w14:paraId="28DBE41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Indicator</w:t>
            </w:r>
          </w:p>
        </w:tc>
        <w:tc>
          <w:tcPr>
            <w:tcW w:w="2340" w:type="dxa"/>
            <w:shd w:val="clear" w:color="auto" w:fill="F2F2F2"/>
          </w:tcPr>
          <w:p w14:paraId="16C9899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Mean</w:t>
            </w:r>
          </w:p>
        </w:tc>
        <w:tc>
          <w:tcPr>
            <w:tcW w:w="2340" w:type="dxa"/>
            <w:shd w:val="clear" w:color="auto" w:fill="F2F2F2"/>
          </w:tcPr>
          <w:p w14:paraId="4CB033C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Min</w:t>
            </w:r>
          </w:p>
        </w:tc>
        <w:tc>
          <w:tcPr>
            <w:tcW w:w="2340" w:type="dxa"/>
            <w:shd w:val="clear" w:color="auto" w:fill="F2F2F2"/>
          </w:tcPr>
          <w:p w14:paraId="1EBF55E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Max</w:t>
            </w:r>
          </w:p>
        </w:tc>
      </w:tr>
      <w:tr w:rsidR="00032A51" w:rsidRPr="00CA7BDE" w14:paraId="4450EE3C" w14:textId="77777777">
        <w:tc>
          <w:tcPr>
            <w:tcW w:w="2340" w:type="dxa"/>
          </w:tcPr>
          <w:p w14:paraId="52B1B9D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NBK loan rate (%)</w:t>
            </w:r>
          </w:p>
        </w:tc>
        <w:tc>
          <w:tcPr>
            <w:tcW w:w="2340" w:type="dxa"/>
          </w:tcPr>
          <w:p w14:paraId="0733295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19.25</w:t>
            </w:r>
          </w:p>
        </w:tc>
        <w:tc>
          <w:tcPr>
            <w:tcW w:w="2340" w:type="dxa"/>
          </w:tcPr>
          <w:p w14:paraId="50C616A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17.09</w:t>
            </w:r>
          </w:p>
        </w:tc>
        <w:tc>
          <w:tcPr>
            <w:tcW w:w="2340" w:type="dxa"/>
          </w:tcPr>
          <w:p w14:paraId="5A608812"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21.99</w:t>
            </w:r>
          </w:p>
        </w:tc>
      </w:tr>
      <w:tr w:rsidR="00032A51" w:rsidRPr="00CA7BDE" w14:paraId="08386A5F" w14:textId="77777777">
        <w:tc>
          <w:tcPr>
            <w:tcW w:w="2340" w:type="dxa"/>
          </w:tcPr>
          <w:p w14:paraId="6FD0498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Inflation (%)</w:t>
            </w:r>
          </w:p>
        </w:tc>
        <w:tc>
          <w:tcPr>
            <w:tcW w:w="2340" w:type="dxa"/>
          </w:tcPr>
          <w:p w14:paraId="24A11F0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8.94</w:t>
            </w:r>
          </w:p>
        </w:tc>
        <w:tc>
          <w:tcPr>
            <w:tcW w:w="2340" w:type="dxa"/>
          </w:tcPr>
          <w:p w14:paraId="542F18F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5.20</w:t>
            </w:r>
          </w:p>
        </w:tc>
        <w:tc>
          <w:tcPr>
            <w:tcW w:w="2340" w:type="dxa"/>
          </w:tcPr>
          <w:p w14:paraId="2DDCBC8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17.14</w:t>
            </w:r>
          </w:p>
        </w:tc>
      </w:tr>
      <w:tr w:rsidR="00032A51" w:rsidRPr="00CA7BDE" w14:paraId="554B2DEE" w14:textId="77777777">
        <w:tc>
          <w:tcPr>
            <w:tcW w:w="2340" w:type="dxa"/>
          </w:tcPr>
          <w:p w14:paraId="7755794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Rate minus inflation (p.p.)</w:t>
            </w:r>
          </w:p>
        </w:tc>
        <w:tc>
          <w:tcPr>
            <w:tcW w:w="2340" w:type="dxa"/>
          </w:tcPr>
          <w:p w14:paraId="25199C0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10.04</w:t>
            </w:r>
          </w:p>
        </w:tc>
        <w:tc>
          <w:tcPr>
            <w:tcW w:w="2340" w:type="dxa"/>
          </w:tcPr>
          <w:p w14:paraId="6283F4F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2.26</w:t>
            </w:r>
          </w:p>
        </w:tc>
        <w:tc>
          <w:tcPr>
            <w:tcW w:w="2340" w:type="dxa"/>
          </w:tcPr>
          <w:p w14:paraId="7B5A611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15.73</w:t>
            </w:r>
          </w:p>
        </w:tc>
      </w:tr>
      <w:tr w:rsidR="00032A51" w:rsidRPr="00CA7BDE" w14:paraId="4F1D339E" w14:textId="77777777">
        <w:tc>
          <w:tcPr>
            <w:tcW w:w="2340" w:type="dxa"/>
          </w:tcPr>
          <w:p w14:paraId="402DF26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Unemployment (%)</w:t>
            </w:r>
          </w:p>
        </w:tc>
        <w:tc>
          <w:tcPr>
            <w:tcW w:w="2340" w:type="dxa"/>
          </w:tcPr>
          <w:p w14:paraId="3DBA402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5.67</w:t>
            </w:r>
          </w:p>
        </w:tc>
        <w:tc>
          <w:tcPr>
            <w:tcW w:w="2340" w:type="dxa"/>
          </w:tcPr>
          <w:p w14:paraId="2D3CCC8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4.80</w:t>
            </w:r>
          </w:p>
        </w:tc>
        <w:tc>
          <w:tcPr>
            <w:tcW w:w="2340" w:type="dxa"/>
          </w:tcPr>
          <w:p w14:paraId="107E0F4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8.13</w:t>
            </w:r>
          </w:p>
        </w:tc>
      </w:tr>
    </w:tbl>
    <w:p w14:paraId="2E5214E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The annual mean loan rate stays within a band of about 17–22%, while inflation swings between roughly 5% and 17%. The most recent annual averages show a gradual increase: 17.29% in 2022, 19.23% in 2023, 19.93% in 2024, 21.06% in 2025 and 21.99% for January–August 2026.</w:t>
      </w:r>
    </w:p>
    <w:p w14:paraId="1DF8E053" w14:textId="551ABBAA" w:rsidR="00032A51" w:rsidRPr="00CA7BDE" w:rsidRDefault="00CA7BDE">
      <w:pPr>
        <w:rPr>
          <w:rFonts w:ascii="Times New Roman" w:hAnsi="Times New Roman" w:cs="Times New Roman"/>
          <w:sz w:val="24"/>
          <w:szCs w:val="24"/>
        </w:rPr>
      </w:pPr>
      <w:r w:rsidRPr="00CA7BDE">
        <w:rPr>
          <w:rFonts w:ascii="Times New Roman" w:hAnsi="Times New Roman" w:cs="Times New Roman"/>
          <w:sz w:val="24"/>
          <w:szCs w:val="24"/>
        </w:rPr>
        <w:lastRenderedPageBreak/>
        <w:drawing>
          <wp:inline distT="0" distB="0" distL="0" distR="0" wp14:anchorId="7D9E5793" wp14:editId="2E9F2674">
            <wp:extent cx="5943600" cy="2770505"/>
            <wp:effectExtent l="0" t="0" r="0" b="0"/>
            <wp:docPr id="854644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4192" name=""/>
                    <pic:cNvPicPr/>
                  </pic:nvPicPr>
                  <pic:blipFill>
                    <a:blip r:embed="rId5"/>
                    <a:stretch>
                      <a:fillRect/>
                    </a:stretch>
                  </pic:blipFill>
                  <pic:spPr>
                    <a:xfrm>
                      <a:off x="0" y="0"/>
                      <a:ext cx="5943600" cy="2770505"/>
                    </a:xfrm>
                    <a:prstGeom prst="rect">
                      <a:avLst/>
                    </a:prstGeom>
                  </pic:spPr>
                </pic:pic>
              </a:graphicData>
            </a:graphic>
          </wp:inline>
        </w:drawing>
      </w:r>
    </w:p>
    <w:p w14:paraId="6FC2940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Figure 1. Monthly NBK weighted average rates on loans to individuals and annual inflation; grey bands mark the 2008-09 crisis, the 2015-16 tenge float, COVID-19 and the 2022-23 shock.</w:t>
      </w:r>
    </w:p>
    <w:p w14:paraId="16B60CD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noProof/>
          <w:sz w:val="24"/>
          <w:szCs w:val="24"/>
        </w:rPr>
        <w:drawing>
          <wp:inline distT="0" distB="0" distL="0" distR="0" wp14:anchorId="7985545F" wp14:editId="0B02CA75">
            <wp:extent cx="5486400" cy="4095837"/>
            <wp:effectExtent l="0" t="0" r="0" b="0"/>
            <wp:docPr id="2" name="image2" descr="Figure 2. Kazakhstan macro indicators, 2005-2023"/>
            <wp:cNvGraphicFramePr/>
            <a:graphic xmlns:a="http://schemas.openxmlformats.org/drawingml/2006/main">
              <a:graphicData uri="http://schemas.openxmlformats.org/drawingml/2006/picture">
                <pic:pic xmlns:pic="http://schemas.openxmlformats.org/drawingml/2006/picture">
                  <pic:nvPicPr>
                    <pic:cNvPr id="2" name="image2" descr="Figure 2. Kazakhstan macro indicators, 2005-2023"/>
                    <pic:cNvPicPr/>
                  </pic:nvPicPr>
                  <pic:blipFill>
                    <a:blip r:embed="rId6"/>
                    <a:stretch>
                      <a:fillRect/>
                    </a:stretch>
                  </pic:blipFill>
                  <pic:spPr>
                    <a:xfrm>
                      <a:off x="0" y="0"/>
                      <a:ext cx="5486400" cy="4095837"/>
                    </a:xfrm>
                    <a:prstGeom prst="rect">
                      <a:avLst/>
                    </a:prstGeom>
                  </pic:spPr>
                </pic:pic>
              </a:graphicData>
            </a:graphic>
          </wp:inline>
        </w:drawing>
      </w:r>
    </w:p>
    <w:p w14:paraId="6117596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 xml:space="preserve">Figure 2. Kazakhstan: inflation, GDP per capita and unemployment, 2005-2023 (World Bank WDI via </w:t>
      </w:r>
      <w:proofErr w:type="spellStart"/>
      <w:r w:rsidRPr="00CA7BDE">
        <w:rPr>
          <w:rFonts w:ascii="Times New Roman" w:hAnsi="Times New Roman" w:cs="Times New Roman"/>
          <w:i/>
          <w:sz w:val="24"/>
          <w:szCs w:val="24"/>
        </w:rPr>
        <w:t>DBnomics</w:t>
      </w:r>
      <w:proofErr w:type="spellEnd"/>
      <w:r w:rsidRPr="00CA7BDE">
        <w:rPr>
          <w:rFonts w:ascii="Times New Roman" w:hAnsi="Times New Roman" w:cs="Times New Roman"/>
          <w:i/>
          <w:sz w:val="24"/>
          <w:szCs w:val="24"/>
        </w:rPr>
        <w:t>).</w:t>
      </w:r>
    </w:p>
    <w:p w14:paraId="57CE1205" w14:textId="77777777" w:rsidR="00032A51" w:rsidRPr="00CA7BDE" w:rsidRDefault="00000000">
      <w:pPr>
        <w:pStyle w:val="3"/>
        <w:rPr>
          <w:rFonts w:ascii="Times New Roman" w:hAnsi="Times New Roman" w:cs="Times New Roman"/>
          <w:szCs w:val="24"/>
        </w:rPr>
      </w:pPr>
      <w:r w:rsidRPr="00CA7BDE">
        <w:rPr>
          <w:rFonts w:ascii="Times New Roman" w:hAnsi="Times New Roman" w:cs="Times New Roman"/>
          <w:szCs w:val="24"/>
        </w:rPr>
        <w:lastRenderedPageBreak/>
        <w:t>4.2 Real cost of credit</w:t>
      </w:r>
    </w:p>
    <w:p w14:paraId="179633D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Borrowers were not equally burdened across years.</w:t>
      </w:r>
    </w:p>
    <w:tbl>
      <w:tblPr>
        <w:tblStyle w:val="a8"/>
        <w:tblW w:w="0" w:type="auto"/>
        <w:tblLayout w:type="fixed"/>
        <w:tblLook w:val="0420" w:firstRow="1" w:lastRow="0" w:firstColumn="0" w:lastColumn="0" w:noHBand="0" w:noVBand="1"/>
      </w:tblPr>
      <w:tblGrid>
        <w:gridCol w:w="2340"/>
        <w:gridCol w:w="2340"/>
        <w:gridCol w:w="2340"/>
        <w:gridCol w:w="2340"/>
      </w:tblGrid>
      <w:tr w:rsidR="00032A51" w:rsidRPr="00CA7BDE" w14:paraId="5E493537" w14:textId="77777777">
        <w:trPr>
          <w:tblHeader/>
        </w:trPr>
        <w:tc>
          <w:tcPr>
            <w:tcW w:w="2340" w:type="dxa"/>
            <w:shd w:val="clear" w:color="auto" w:fill="F2F2F2"/>
          </w:tcPr>
          <w:p w14:paraId="784F99C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Highest real cost (rate − inflation)</w:t>
            </w:r>
          </w:p>
        </w:tc>
        <w:tc>
          <w:tcPr>
            <w:tcW w:w="2340" w:type="dxa"/>
            <w:shd w:val="clear" w:color="auto" w:fill="F2F2F2"/>
          </w:tcPr>
          <w:p w14:paraId="20CAEC2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p.p.</w:t>
            </w:r>
          </w:p>
        </w:tc>
        <w:tc>
          <w:tcPr>
            <w:tcW w:w="2340" w:type="dxa"/>
            <w:shd w:val="clear" w:color="auto" w:fill="F2F2F2"/>
          </w:tcPr>
          <w:p w14:paraId="23D2D9C2"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Lowest real cost</w:t>
            </w:r>
          </w:p>
        </w:tc>
        <w:tc>
          <w:tcPr>
            <w:tcW w:w="2340" w:type="dxa"/>
            <w:shd w:val="clear" w:color="auto" w:fill="F2F2F2"/>
          </w:tcPr>
          <w:p w14:paraId="6AF89A6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p.p.</w:t>
            </w:r>
          </w:p>
        </w:tc>
      </w:tr>
      <w:tr w:rsidR="00032A51" w:rsidRPr="00CA7BDE" w14:paraId="35D4005D" w14:textId="77777777">
        <w:tc>
          <w:tcPr>
            <w:tcW w:w="2340" w:type="dxa"/>
          </w:tcPr>
          <w:p w14:paraId="398B754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2012</w:t>
            </w:r>
          </w:p>
        </w:tc>
        <w:tc>
          <w:tcPr>
            <w:tcW w:w="2340" w:type="dxa"/>
          </w:tcPr>
          <w:p w14:paraId="361F90D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15.73</w:t>
            </w:r>
          </w:p>
        </w:tc>
        <w:tc>
          <w:tcPr>
            <w:tcW w:w="2340" w:type="dxa"/>
          </w:tcPr>
          <w:p w14:paraId="7403823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2022</w:t>
            </w:r>
          </w:p>
        </w:tc>
        <w:tc>
          <w:tcPr>
            <w:tcW w:w="2340" w:type="dxa"/>
          </w:tcPr>
          <w:p w14:paraId="45A714C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2.26</w:t>
            </w:r>
          </w:p>
        </w:tc>
      </w:tr>
      <w:tr w:rsidR="00032A51" w:rsidRPr="00CA7BDE" w14:paraId="6EAEE7DE" w14:textId="77777777">
        <w:tc>
          <w:tcPr>
            <w:tcW w:w="2340" w:type="dxa"/>
          </w:tcPr>
          <w:p w14:paraId="211EB7D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2013</w:t>
            </w:r>
          </w:p>
        </w:tc>
        <w:tc>
          <w:tcPr>
            <w:tcW w:w="2340" w:type="dxa"/>
          </w:tcPr>
          <w:p w14:paraId="32808F7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14.44</w:t>
            </w:r>
          </w:p>
        </w:tc>
        <w:tc>
          <w:tcPr>
            <w:tcW w:w="2340" w:type="dxa"/>
          </w:tcPr>
          <w:p w14:paraId="090BF36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2008</w:t>
            </w:r>
          </w:p>
        </w:tc>
        <w:tc>
          <w:tcPr>
            <w:tcW w:w="2340" w:type="dxa"/>
          </w:tcPr>
          <w:p w14:paraId="2A85EBA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2.30</w:t>
            </w:r>
          </w:p>
        </w:tc>
      </w:tr>
      <w:tr w:rsidR="00032A51" w:rsidRPr="00CA7BDE" w14:paraId="748DCB54" w14:textId="77777777">
        <w:tc>
          <w:tcPr>
            <w:tcW w:w="2340" w:type="dxa"/>
          </w:tcPr>
          <w:p w14:paraId="47022D4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2019</w:t>
            </w:r>
          </w:p>
        </w:tc>
        <w:tc>
          <w:tcPr>
            <w:tcW w:w="2340" w:type="dxa"/>
          </w:tcPr>
          <w:p w14:paraId="3990D45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12.69</w:t>
            </w:r>
          </w:p>
        </w:tc>
        <w:tc>
          <w:tcPr>
            <w:tcW w:w="2340" w:type="dxa"/>
          </w:tcPr>
          <w:p w14:paraId="042EE0A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2023</w:t>
            </w:r>
          </w:p>
        </w:tc>
        <w:tc>
          <w:tcPr>
            <w:tcW w:w="2340" w:type="dxa"/>
          </w:tcPr>
          <w:p w14:paraId="156C3DD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4.51</w:t>
            </w:r>
          </w:p>
        </w:tc>
      </w:tr>
      <w:tr w:rsidR="00032A51" w:rsidRPr="00CA7BDE" w14:paraId="693599D9" w14:textId="77777777">
        <w:tc>
          <w:tcPr>
            <w:tcW w:w="2340" w:type="dxa"/>
          </w:tcPr>
          <w:p w14:paraId="7EBE4E5F"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2010</w:t>
            </w:r>
          </w:p>
        </w:tc>
        <w:tc>
          <w:tcPr>
            <w:tcW w:w="2340" w:type="dxa"/>
          </w:tcPr>
          <w:p w14:paraId="65D1924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12.64</w:t>
            </w:r>
          </w:p>
        </w:tc>
        <w:tc>
          <w:tcPr>
            <w:tcW w:w="2340" w:type="dxa"/>
          </w:tcPr>
          <w:p w14:paraId="33E5090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2016</w:t>
            </w:r>
          </w:p>
        </w:tc>
        <w:tc>
          <w:tcPr>
            <w:tcW w:w="2340" w:type="dxa"/>
          </w:tcPr>
          <w:p w14:paraId="74973E1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4.54</w:t>
            </w:r>
          </w:p>
        </w:tc>
      </w:tr>
      <w:tr w:rsidR="00032A51" w:rsidRPr="00CA7BDE" w14:paraId="34C49305" w14:textId="77777777">
        <w:tc>
          <w:tcPr>
            <w:tcW w:w="2340" w:type="dxa"/>
          </w:tcPr>
          <w:p w14:paraId="485BFB2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2018</w:t>
            </w:r>
          </w:p>
        </w:tc>
        <w:tc>
          <w:tcPr>
            <w:tcW w:w="2340" w:type="dxa"/>
          </w:tcPr>
          <w:p w14:paraId="0BBF523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12.43</w:t>
            </w:r>
          </w:p>
        </w:tc>
        <w:tc>
          <w:tcPr>
            <w:tcW w:w="2340" w:type="dxa"/>
          </w:tcPr>
          <w:p w14:paraId="45C237F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2007</w:t>
            </w:r>
          </w:p>
        </w:tc>
        <w:tc>
          <w:tcPr>
            <w:tcW w:w="2340" w:type="dxa"/>
          </w:tcPr>
          <w:p w14:paraId="46EAB23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7.02</w:t>
            </w:r>
          </w:p>
        </w:tc>
      </w:tr>
    </w:tbl>
    <w:p w14:paraId="7448FDE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The rate–inflation gap was highest in calm, low-inflation years (2012–2013, 2018–2019) and lowest in years of inflation shocks: the 2008 crisis, the 2015–2016 tenge float and the 2022–2023 shock. Across the 19 years with both annual series (2005–2023), the NBK loan rate was above inflation. The January–August 2026 mean (21.99%) exceeds August inflation (9.8%) by about 12.2 p.p.</w:t>
      </w:r>
    </w:p>
    <w:p w14:paraId="2F40A37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noProof/>
          <w:sz w:val="24"/>
          <w:szCs w:val="24"/>
        </w:rPr>
        <w:drawing>
          <wp:inline distT="0" distB="0" distL="0" distR="0" wp14:anchorId="051DAD6B" wp14:editId="5E929D36">
            <wp:extent cx="5486400" cy="2238078"/>
            <wp:effectExtent l="0" t="0" r="0" b="0"/>
            <wp:docPr id="3" name="image3" descr="Figure 3. Average consumer loan rate minus inflation by year"/>
            <wp:cNvGraphicFramePr/>
            <a:graphic xmlns:a="http://schemas.openxmlformats.org/drawingml/2006/main">
              <a:graphicData uri="http://schemas.openxmlformats.org/drawingml/2006/picture">
                <pic:pic xmlns:pic="http://schemas.openxmlformats.org/drawingml/2006/picture">
                  <pic:nvPicPr>
                    <pic:cNvPr id="3" name="image3" descr="Figure 3. Average consumer loan rate minus inflation by year"/>
                    <pic:cNvPicPr/>
                  </pic:nvPicPr>
                  <pic:blipFill>
                    <a:blip r:embed="rId7"/>
                    <a:stretch>
                      <a:fillRect/>
                    </a:stretch>
                  </pic:blipFill>
                  <pic:spPr>
                    <a:xfrm>
                      <a:off x="0" y="0"/>
                      <a:ext cx="5486400" cy="2238078"/>
                    </a:xfrm>
                    <a:prstGeom prst="rect">
                      <a:avLst/>
                    </a:prstGeom>
                  </pic:spPr>
                </pic:pic>
              </a:graphicData>
            </a:graphic>
          </wp:inline>
        </w:drawing>
      </w:r>
    </w:p>
    <w:p w14:paraId="5DCCCAE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Figure 3. Mean monthly NBK rate on loans to individuals minus annual inflation (percentage points). The 2026 bar compares the January–August mean (8 months) with August inflation.</w:t>
      </w:r>
    </w:p>
    <w:p w14:paraId="1490C741" w14:textId="77777777" w:rsidR="00032A51" w:rsidRPr="00CA7BDE" w:rsidRDefault="00000000">
      <w:pPr>
        <w:pStyle w:val="3"/>
        <w:rPr>
          <w:rFonts w:ascii="Times New Roman" w:hAnsi="Times New Roman" w:cs="Times New Roman"/>
          <w:szCs w:val="24"/>
        </w:rPr>
      </w:pPr>
      <w:r w:rsidRPr="00CA7BDE">
        <w:rPr>
          <w:rFonts w:ascii="Times New Roman" w:hAnsi="Times New Roman" w:cs="Times New Roman"/>
          <w:szCs w:val="24"/>
        </w:rPr>
        <w:t>4.3 Correlations</w:t>
      </w:r>
    </w:p>
    <w:tbl>
      <w:tblPr>
        <w:tblStyle w:val="a8"/>
        <w:tblW w:w="0" w:type="auto"/>
        <w:tblLayout w:type="fixed"/>
        <w:tblLook w:val="0420" w:firstRow="1" w:lastRow="0" w:firstColumn="0" w:lastColumn="0" w:noHBand="0" w:noVBand="1"/>
      </w:tblPr>
      <w:tblGrid>
        <w:gridCol w:w="1872"/>
        <w:gridCol w:w="1872"/>
        <w:gridCol w:w="1872"/>
        <w:gridCol w:w="1872"/>
        <w:gridCol w:w="1872"/>
      </w:tblGrid>
      <w:tr w:rsidR="00032A51" w:rsidRPr="00CA7BDE" w14:paraId="57AA860A" w14:textId="77777777">
        <w:trPr>
          <w:tblHeader/>
        </w:trPr>
        <w:tc>
          <w:tcPr>
            <w:tcW w:w="1872" w:type="dxa"/>
            <w:shd w:val="clear" w:color="auto" w:fill="F2F2F2"/>
          </w:tcPr>
          <w:p w14:paraId="1138B918" w14:textId="77777777" w:rsidR="00032A51" w:rsidRPr="00CA7BDE" w:rsidRDefault="00032A51">
            <w:pPr>
              <w:rPr>
                <w:rFonts w:ascii="Times New Roman" w:hAnsi="Times New Roman" w:cs="Times New Roman"/>
                <w:sz w:val="24"/>
                <w:szCs w:val="24"/>
              </w:rPr>
            </w:pPr>
          </w:p>
        </w:tc>
        <w:tc>
          <w:tcPr>
            <w:tcW w:w="1872" w:type="dxa"/>
            <w:shd w:val="clear" w:color="auto" w:fill="F2F2F2"/>
          </w:tcPr>
          <w:p w14:paraId="4821953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Inflation</w:t>
            </w:r>
          </w:p>
        </w:tc>
        <w:tc>
          <w:tcPr>
            <w:tcW w:w="1872" w:type="dxa"/>
            <w:shd w:val="clear" w:color="auto" w:fill="F2F2F2"/>
          </w:tcPr>
          <w:p w14:paraId="4B65AA4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GDP per capita</w:t>
            </w:r>
          </w:p>
        </w:tc>
        <w:tc>
          <w:tcPr>
            <w:tcW w:w="1872" w:type="dxa"/>
            <w:shd w:val="clear" w:color="auto" w:fill="F2F2F2"/>
          </w:tcPr>
          <w:p w14:paraId="164357F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Unemployment</w:t>
            </w:r>
          </w:p>
        </w:tc>
        <w:tc>
          <w:tcPr>
            <w:tcW w:w="1872" w:type="dxa"/>
            <w:shd w:val="clear" w:color="auto" w:fill="F2F2F2"/>
          </w:tcPr>
          <w:p w14:paraId="309177B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Loan rate</w:t>
            </w:r>
          </w:p>
        </w:tc>
      </w:tr>
      <w:tr w:rsidR="00032A51" w:rsidRPr="00CA7BDE" w14:paraId="16419310" w14:textId="77777777">
        <w:tc>
          <w:tcPr>
            <w:tcW w:w="1872" w:type="dxa"/>
          </w:tcPr>
          <w:p w14:paraId="43E5105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Inflation</w:t>
            </w:r>
          </w:p>
        </w:tc>
        <w:tc>
          <w:tcPr>
            <w:tcW w:w="1872" w:type="dxa"/>
          </w:tcPr>
          <w:p w14:paraId="45AFAF5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1.00</w:t>
            </w:r>
          </w:p>
        </w:tc>
        <w:tc>
          <w:tcPr>
            <w:tcW w:w="1872" w:type="dxa"/>
          </w:tcPr>
          <w:p w14:paraId="7FE78EF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−0.07</w:t>
            </w:r>
          </w:p>
        </w:tc>
        <w:tc>
          <w:tcPr>
            <w:tcW w:w="1872" w:type="dxa"/>
          </w:tcPr>
          <w:p w14:paraId="7164E0E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0.09</w:t>
            </w:r>
          </w:p>
        </w:tc>
        <w:tc>
          <w:tcPr>
            <w:tcW w:w="1872" w:type="dxa"/>
          </w:tcPr>
          <w:p w14:paraId="46145D0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−0.15</w:t>
            </w:r>
          </w:p>
        </w:tc>
      </w:tr>
      <w:tr w:rsidR="00032A51" w:rsidRPr="00CA7BDE" w14:paraId="334F5EA3" w14:textId="77777777">
        <w:tc>
          <w:tcPr>
            <w:tcW w:w="1872" w:type="dxa"/>
          </w:tcPr>
          <w:p w14:paraId="6CB3852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GDP per capita</w:t>
            </w:r>
          </w:p>
        </w:tc>
        <w:tc>
          <w:tcPr>
            <w:tcW w:w="1872" w:type="dxa"/>
          </w:tcPr>
          <w:p w14:paraId="3E08402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−0.07</w:t>
            </w:r>
          </w:p>
        </w:tc>
        <w:tc>
          <w:tcPr>
            <w:tcW w:w="1872" w:type="dxa"/>
          </w:tcPr>
          <w:p w14:paraId="5D91CBF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1.00</w:t>
            </w:r>
          </w:p>
        </w:tc>
        <w:tc>
          <w:tcPr>
            <w:tcW w:w="1872" w:type="dxa"/>
          </w:tcPr>
          <w:p w14:paraId="3D49CA1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−0.78</w:t>
            </w:r>
          </w:p>
        </w:tc>
        <w:tc>
          <w:tcPr>
            <w:tcW w:w="1872" w:type="dxa"/>
          </w:tcPr>
          <w:p w14:paraId="52DAE9F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0.09</w:t>
            </w:r>
          </w:p>
        </w:tc>
      </w:tr>
      <w:tr w:rsidR="00032A51" w:rsidRPr="00CA7BDE" w14:paraId="25C837FB" w14:textId="77777777">
        <w:tc>
          <w:tcPr>
            <w:tcW w:w="1872" w:type="dxa"/>
          </w:tcPr>
          <w:p w14:paraId="06EE50E2"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Unemployment</w:t>
            </w:r>
          </w:p>
        </w:tc>
        <w:tc>
          <w:tcPr>
            <w:tcW w:w="1872" w:type="dxa"/>
          </w:tcPr>
          <w:p w14:paraId="7FA1B46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0.09</w:t>
            </w:r>
          </w:p>
        </w:tc>
        <w:tc>
          <w:tcPr>
            <w:tcW w:w="1872" w:type="dxa"/>
          </w:tcPr>
          <w:p w14:paraId="7991FBF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−0.78</w:t>
            </w:r>
          </w:p>
        </w:tc>
        <w:tc>
          <w:tcPr>
            <w:tcW w:w="1872" w:type="dxa"/>
          </w:tcPr>
          <w:p w14:paraId="707C80B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1.00</w:t>
            </w:r>
          </w:p>
        </w:tc>
        <w:tc>
          <w:tcPr>
            <w:tcW w:w="1872" w:type="dxa"/>
          </w:tcPr>
          <w:p w14:paraId="7362865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0.26</w:t>
            </w:r>
          </w:p>
        </w:tc>
      </w:tr>
      <w:tr w:rsidR="00032A51" w:rsidRPr="00CA7BDE" w14:paraId="62B450C0" w14:textId="77777777">
        <w:tc>
          <w:tcPr>
            <w:tcW w:w="1872" w:type="dxa"/>
          </w:tcPr>
          <w:p w14:paraId="0D186E9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Loan rate</w:t>
            </w:r>
          </w:p>
        </w:tc>
        <w:tc>
          <w:tcPr>
            <w:tcW w:w="1872" w:type="dxa"/>
          </w:tcPr>
          <w:p w14:paraId="7D56E7C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−0.15</w:t>
            </w:r>
          </w:p>
        </w:tc>
        <w:tc>
          <w:tcPr>
            <w:tcW w:w="1872" w:type="dxa"/>
          </w:tcPr>
          <w:p w14:paraId="0A077A9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0.09</w:t>
            </w:r>
          </w:p>
        </w:tc>
        <w:tc>
          <w:tcPr>
            <w:tcW w:w="1872" w:type="dxa"/>
          </w:tcPr>
          <w:p w14:paraId="5BF7BC7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0.26</w:t>
            </w:r>
          </w:p>
        </w:tc>
        <w:tc>
          <w:tcPr>
            <w:tcW w:w="1872" w:type="dxa"/>
          </w:tcPr>
          <w:p w14:paraId="4A05FC7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1.00</w:t>
            </w:r>
          </w:p>
        </w:tc>
      </w:tr>
    </w:tbl>
    <w:p w14:paraId="3A8AD3E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lastRenderedPageBreak/>
        <w:t>The annual NBK loan-rate series has a weak, slightly negative correlation with annual inflation over 2005–2023 (r = −0.15, n = 19). The strongest correlation in the table is between GDP per capita and unemployment (r = −0.78). Correlations involving the NBK loan rate are weak in this sample.</w:t>
      </w:r>
    </w:p>
    <w:p w14:paraId="7AF126C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noProof/>
          <w:sz w:val="24"/>
          <w:szCs w:val="24"/>
        </w:rPr>
        <w:drawing>
          <wp:inline distT="0" distB="0" distL="0" distR="0" wp14:anchorId="39A61B6D" wp14:editId="3476F346">
            <wp:extent cx="5486400" cy="4105208"/>
            <wp:effectExtent l="0" t="0" r="0" b="0"/>
            <wp:docPr id="4" name="image4" descr="Figure 4. Inflation vs average loan rate"/>
            <wp:cNvGraphicFramePr/>
            <a:graphic xmlns:a="http://schemas.openxmlformats.org/drawingml/2006/main">
              <a:graphicData uri="http://schemas.openxmlformats.org/drawingml/2006/picture">
                <pic:pic xmlns:pic="http://schemas.openxmlformats.org/drawingml/2006/picture">
                  <pic:nvPicPr>
                    <pic:cNvPr id="4" name="image4" descr="Figure 4. Inflation vs average loan rate"/>
                    <pic:cNvPicPr/>
                  </pic:nvPicPr>
                  <pic:blipFill>
                    <a:blip r:embed="rId8"/>
                    <a:stretch>
                      <a:fillRect/>
                    </a:stretch>
                  </pic:blipFill>
                  <pic:spPr>
                    <a:xfrm>
                      <a:off x="0" y="0"/>
                      <a:ext cx="5486400" cy="4105208"/>
                    </a:xfrm>
                    <a:prstGeom prst="rect">
                      <a:avLst/>
                    </a:prstGeom>
                  </pic:spPr>
                </pic:pic>
              </a:graphicData>
            </a:graphic>
          </wp:inline>
        </w:drawing>
      </w:r>
    </w:p>
    <w:p w14:paraId="106A826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Figure 4. Inflation vs the NBK average rate on loans to individuals (r = -0.15, n = 19): the fitted line is nearly flat.</w:t>
      </w:r>
    </w:p>
    <w:p w14:paraId="611993E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noProof/>
          <w:sz w:val="24"/>
          <w:szCs w:val="24"/>
        </w:rPr>
        <w:lastRenderedPageBreak/>
        <w:drawing>
          <wp:inline distT="0" distB="0" distL="0" distR="0" wp14:anchorId="525F93A1" wp14:editId="37AF611A">
            <wp:extent cx="5486400" cy="4772556"/>
            <wp:effectExtent l="0" t="0" r="0" b="0"/>
            <wp:docPr id="5" name="image5" descr="Figure 5. Correlation between yearly indicators"/>
            <wp:cNvGraphicFramePr/>
            <a:graphic xmlns:a="http://schemas.openxmlformats.org/drawingml/2006/main">
              <a:graphicData uri="http://schemas.openxmlformats.org/drawingml/2006/picture">
                <pic:pic xmlns:pic="http://schemas.openxmlformats.org/drawingml/2006/picture">
                  <pic:nvPicPr>
                    <pic:cNvPr id="5" name="image5" descr="Figure 5. Correlation between yearly indicators"/>
                    <pic:cNvPicPr/>
                  </pic:nvPicPr>
                  <pic:blipFill>
                    <a:blip r:embed="rId9"/>
                    <a:stretch>
                      <a:fillRect/>
                    </a:stretch>
                  </pic:blipFill>
                  <pic:spPr>
                    <a:xfrm>
                      <a:off x="0" y="0"/>
                      <a:ext cx="5486400" cy="4772556"/>
                    </a:xfrm>
                    <a:prstGeom prst="rect">
                      <a:avLst/>
                    </a:prstGeom>
                  </pic:spPr>
                </pic:pic>
              </a:graphicData>
            </a:graphic>
          </wp:inline>
        </w:drawing>
      </w:r>
    </w:p>
    <w:p w14:paraId="2D4B6FF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Figure 5. Correlation heatmap of the yearly indicators.</w:t>
      </w:r>
    </w:p>
    <w:p w14:paraId="4212296C" w14:textId="77777777" w:rsidR="00032A51" w:rsidRPr="00CA7BDE" w:rsidRDefault="00000000">
      <w:pPr>
        <w:pStyle w:val="3"/>
        <w:rPr>
          <w:rFonts w:ascii="Times New Roman" w:hAnsi="Times New Roman" w:cs="Times New Roman"/>
          <w:szCs w:val="24"/>
        </w:rPr>
      </w:pPr>
      <w:r w:rsidRPr="00CA7BDE">
        <w:rPr>
          <w:rFonts w:ascii="Times New Roman" w:hAnsi="Times New Roman" w:cs="Times New Roman"/>
          <w:szCs w:val="24"/>
        </w:rPr>
        <w:t>4.4 Bank-level comparison (rating of 31.07.2026)</w:t>
      </w:r>
    </w:p>
    <w:tbl>
      <w:tblPr>
        <w:tblStyle w:val="a8"/>
        <w:tblW w:w="0" w:type="auto"/>
        <w:tblLayout w:type="fixed"/>
        <w:tblLook w:val="0420" w:firstRow="1" w:lastRow="0" w:firstColumn="0" w:lastColumn="0" w:noHBand="0" w:noVBand="1"/>
      </w:tblPr>
      <w:tblGrid>
        <w:gridCol w:w="2340"/>
        <w:gridCol w:w="2340"/>
        <w:gridCol w:w="2340"/>
        <w:gridCol w:w="2340"/>
      </w:tblGrid>
      <w:tr w:rsidR="00032A51" w:rsidRPr="00CA7BDE" w14:paraId="7B2144BF" w14:textId="77777777">
        <w:trPr>
          <w:tblHeader/>
        </w:trPr>
        <w:tc>
          <w:tcPr>
            <w:tcW w:w="2340" w:type="dxa"/>
            <w:shd w:val="clear" w:color="auto" w:fill="F2F2F2"/>
          </w:tcPr>
          <w:p w14:paraId="4DCBE8E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Bank</w:t>
            </w:r>
          </w:p>
        </w:tc>
        <w:tc>
          <w:tcPr>
            <w:tcW w:w="2340" w:type="dxa"/>
            <w:shd w:val="clear" w:color="auto" w:fill="F2F2F2"/>
          </w:tcPr>
          <w:p w14:paraId="22B2C98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Nominal rate (%)</w:t>
            </w:r>
          </w:p>
        </w:tc>
        <w:tc>
          <w:tcPr>
            <w:tcW w:w="2340" w:type="dxa"/>
            <w:shd w:val="clear" w:color="auto" w:fill="F2F2F2"/>
          </w:tcPr>
          <w:p w14:paraId="3FE8F65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Effective rate (%)</w:t>
            </w:r>
          </w:p>
        </w:tc>
        <w:tc>
          <w:tcPr>
            <w:tcW w:w="2340" w:type="dxa"/>
            <w:shd w:val="clear" w:color="auto" w:fill="F2F2F2"/>
          </w:tcPr>
          <w:p w14:paraId="673F1BF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Commission effect (p.p.)</w:t>
            </w:r>
          </w:p>
        </w:tc>
      </w:tr>
      <w:tr w:rsidR="00032A51" w:rsidRPr="00CA7BDE" w14:paraId="1D2C0F5B" w14:textId="77777777">
        <w:tc>
          <w:tcPr>
            <w:tcW w:w="2340" w:type="dxa"/>
          </w:tcPr>
          <w:p w14:paraId="4657480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Home Credit Bank</w:t>
            </w:r>
          </w:p>
        </w:tc>
        <w:tc>
          <w:tcPr>
            <w:tcW w:w="2340" w:type="dxa"/>
          </w:tcPr>
          <w:p w14:paraId="1D73ED8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19.0</w:t>
            </w:r>
          </w:p>
        </w:tc>
        <w:tc>
          <w:tcPr>
            <w:tcW w:w="2340" w:type="dxa"/>
          </w:tcPr>
          <w:p w14:paraId="036BD62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19.00</w:t>
            </w:r>
          </w:p>
        </w:tc>
        <w:tc>
          <w:tcPr>
            <w:tcW w:w="2340" w:type="dxa"/>
          </w:tcPr>
          <w:p w14:paraId="5B03003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r w:rsidR="00032A51" w:rsidRPr="00CA7BDE" w14:paraId="4E4791DC" w14:textId="77777777">
        <w:tc>
          <w:tcPr>
            <w:tcW w:w="2340" w:type="dxa"/>
          </w:tcPr>
          <w:p w14:paraId="3E55D39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Freedom Bank</w:t>
            </w:r>
          </w:p>
        </w:tc>
        <w:tc>
          <w:tcPr>
            <w:tcW w:w="2340" w:type="dxa"/>
          </w:tcPr>
          <w:p w14:paraId="7DA28D1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w:t>
            </w:r>
          </w:p>
        </w:tc>
        <w:tc>
          <w:tcPr>
            <w:tcW w:w="2340" w:type="dxa"/>
          </w:tcPr>
          <w:p w14:paraId="600C5BC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20.00</w:t>
            </w:r>
          </w:p>
        </w:tc>
        <w:tc>
          <w:tcPr>
            <w:tcW w:w="2340" w:type="dxa"/>
          </w:tcPr>
          <w:p w14:paraId="552A2E8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r w:rsidR="00032A51" w:rsidRPr="00CA7BDE" w14:paraId="1E6FDC6F" w14:textId="77777777">
        <w:tc>
          <w:tcPr>
            <w:tcW w:w="2340" w:type="dxa"/>
          </w:tcPr>
          <w:p w14:paraId="2AB3943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VTB Bank</w:t>
            </w:r>
          </w:p>
        </w:tc>
        <w:tc>
          <w:tcPr>
            <w:tcW w:w="2340" w:type="dxa"/>
          </w:tcPr>
          <w:p w14:paraId="4648EB8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w:t>
            </w:r>
          </w:p>
        </w:tc>
        <w:tc>
          <w:tcPr>
            <w:tcW w:w="2340" w:type="dxa"/>
          </w:tcPr>
          <w:p w14:paraId="768057B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20.00</w:t>
            </w:r>
          </w:p>
        </w:tc>
        <w:tc>
          <w:tcPr>
            <w:tcW w:w="2340" w:type="dxa"/>
          </w:tcPr>
          <w:p w14:paraId="34B1A76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r w:rsidR="00032A51" w:rsidRPr="00CA7BDE" w14:paraId="1A3671DC" w14:textId="77777777">
        <w:tc>
          <w:tcPr>
            <w:tcW w:w="2340" w:type="dxa"/>
          </w:tcPr>
          <w:p w14:paraId="446842C6" w14:textId="77777777" w:rsidR="00032A51" w:rsidRPr="00CA7BDE" w:rsidRDefault="00000000">
            <w:pPr>
              <w:rPr>
                <w:rFonts w:ascii="Times New Roman" w:hAnsi="Times New Roman" w:cs="Times New Roman"/>
                <w:sz w:val="24"/>
                <w:szCs w:val="24"/>
              </w:rPr>
            </w:pPr>
            <w:proofErr w:type="spellStart"/>
            <w:r w:rsidRPr="00CA7BDE">
              <w:rPr>
                <w:rFonts w:ascii="Times New Roman" w:hAnsi="Times New Roman" w:cs="Times New Roman"/>
                <w:sz w:val="24"/>
                <w:szCs w:val="24"/>
              </w:rPr>
              <w:t>Centercredit</w:t>
            </w:r>
            <w:proofErr w:type="spellEnd"/>
            <w:r w:rsidRPr="00CA7BDE">
              <w:rPr>
                <w:rFonts w:ascii="Times New Roman" w:hAnsi="Times New Roman" w:cs="Times New Roman"/>
                <w:sz w:val="24"/>
                <w:szCs w:val="24"/>
              </w:rPr>
              <w:t xml:space="preserve"> Bank</w:t>
            </w:r>
          </w:p>
        </w:tc>
        <w:tc>
          <w:tcPr>
            <w:tcW w:w="2340" w:type="dxa"/>
          </w:tcPr>
          <w:p w14:paraId="6ED6857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13.0</w:t>
            </w:r>
          </w:p>
        </w:tc>
        <w:tc>
          <w:tcPr>
            <w:tcW w:w="2340" w:type="dxa"/>
          </w:tcPr>
          <w:p w14:paraId="36CAF06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22.05</w:t>
            </w:r>
          </w:p>
        </w:tc>
        <w:tc>
          <w:tcPr>
            <w:tcW w:w="2340" w:type="dxa"/>
          </w:tcPr>
          <w:p w14:paraId="2275BF3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9.05</w:t>
            </w:r>
          </w:p>
        </w:tc>
      </w:tr>
      <w:tr w:rsidR="00032A51" w:rsidRPr="00CA7BDE" w14:paraId="20D08FF5" w14:textId="77777777">
        <w:tc>
          <w:tcPr>
            <w:tcW w:w="2340" w:type="dxa"/>
          </w:tcPr>
          <w:p w14:paraId="35BAD193"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Bank RBK</w:t>
            </w:r>
          </w:p>
        </w:tc>
        <w:tc>
          <w:tcPr>
            <w:tcW w:w="2340" w:type="dxa"/>
          </w:tcPr>
          <w:p w14:paraId="5B06C74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11.0</w:t>
            </w:r>
          </w:p>
        </w:tc>
        <w:tc>
          <w:tcPr>
            <w:tcW w:w="2340" w:type="dxa"/>
          </w:tcPr>
          <w:p w14:paraId="2E179E3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23.71</w:t>
            </w:r>
          </w:p>
        </w:tc>
        <w:tc>
          <w:tcPr>
            <w:tcW w:w="2340" w:type="dxa"/>
          </w:tcPr>
          <w:p w14:paraId="5B1DC9B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12.71</w:t>
            </w:r>
          </w:p>
        </w:tc>
      </w:tr>
      <w:tr w:rsidR="00032A51" w:rsidRPr="00CA7BDE" w14:paraId="356BB81C" w14:textId="77777777">
        <w:tc>
          <w:tcPr>
            <w:tcW w:w="2340" w:type="dxa"/>
          </w:tcPr>
          <w:p w14:paraId="7C2F63FF"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Halyk Bank</w:t>
            </w:r>
          </w:p>
        </w:tc>
        <w:tc>
          <w:tcPr>
            <w:tcW w:w="2340" w:type="dxa"/>
          </w:tcPr>
          <w:p w14:paraId="411C1E1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17.5</w:t>
            </w:r>
          </w:p>
        </w:tc>
        <w:tc>
          <w:tcPr>
            <w:tcW w:w="2340" w:type="dxa"/>
          </w:tcPr>
          <w:p w14:paraId="6EBBBE02"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24.69</w:t>
            </w:r>
          </w:p>
        </w:tc>
        <w:tc>
          <w:tcPr>
            <w:tcW w:w="2340" w:type="dxa"/>
          </w:tcPr>
          <w:p w14:paraId="3375488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7.19</w:t>
            </w:r>
          </w:p>
        </w:tc>
      </w:tr>
      <w:tr w:rsidR="00032A51" w:rsidRPr="00CA7BDE" w14:paraId="70C2F83B" w14:textId="77777777">
        <w:tc>
          <w:tcPr>
            <w:tcW w:w="2340" w:type="dxa"/>
          </w:tcPr>
          <w:p w14:paraId="0082E0F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Bereke Bank</w:t>
            </w:r>
          </w:p>
        </w:tc>
        <w:tc>
          <w:tcPr>
            <w:tcW w:w="2340" w:type="dxa"/>
          </w:tcPr>
          <w:p w14:paraId="37FC3E11"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28.0</w:t>
            </w:r>
          </w:p>
        </w:tc>
        <w:tc>
          <w:tcPr>
            <w:tcW w:w="2340" w:type="dxa"/>
          </w:tcPr>
          <w:p w14:paraId="62E5D4B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28.00</w:t>
            </w:r>
          </w:p>
        </w:tc>
        <w:tc>
          <w:tcPr>
            <w:tcW w:w="2340" w:type="dxa"/>
          </w:tcPr>
          <w:p w14:paraId="261E3AD0"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r w:rsidR="00032A51" w:rsidRPr="00CA7BDE" w14:paraId="73700293" w14:textId="77777777">
        <w:tc>
          <w:tcPr>
            <w:tcW w:w="2340" w:type="dxa"/>
          </w:tcPr>
          <w:p w14:paraId="02B9D1E5" w14:textId="77777777" w:rsidR="00032A51" w:rsidRPr="00CA7BDE" w:rsidRDefault="00000000">
            <w:pPr>
              <w:rPr>
                <w:rFonts w:ascii="Times New Roman" w:hAnsi="Times New Roman" w:cs="Times New Roman"/>
                <w:sz w:val="24"/>
                <w:szCs w:val="24"/>
              </w:rPr>
            </w:pPr>
            <w:proofErr w:type="spellStart"/>
            <w:r w:rsidRPr="00CA7BDE">
              <w:rPr>
                <w:rFonts w:ascii="Times New Roman" w:hAnsi="Times New Roman" w:cs="Times New Roman"/>
                <w:sz w:val="24"/>
                <w:szCs w:val="24"/>
              </w:rPr>
              <w:lastRenderedPageBreak/>
              <w:t>ForteBank</w:t>
            </w:r>
            <w:proofErr w:type="spellEnd"/>
          </w:p>
        </w:tc>
        <w:tc>
          <w:tcPr>
            <w:tcW w:w="2340" w:type="dxa"/>
          </w:tcPr>
          <w:p w14:paraId="2DB5E53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28.0</w:t>
            </w:r>
          </w:p>
        </w:tc>
        <w:tc>
          <w:tcPr>
            <w:tcW w:w="2340" w:type="dxa"/>
          </w:tcPr>
          <w:p w14:paraId="3627D444"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28.00</w:t>
            </w:r>
          </w:p>
        </w:tc>
        <w:tc>
          <w:tcPr>
            <w:tcW w:w="2340" w:type="dxa"/>
          </w:tcPr>
          <w:p w14:paraId="3106F84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r w:rsidR="00032A51" w:rsidRPr="00CA7BDE" w14:paraId="38787606" w14:textId="77777777">
        <w:tc>
          <w:tcPr>
            <w:tcW w:w="2340" w:type="dxa"/>
          </w:tcPr>
          <w:p w14:paraId="2B1FBD7C" w14:textId="77777777" w:rsidR="00032A51" w:rsidRPr="00CA7BDE" w:rsidRDefault="00000000">
            <w:pPr>
              <w:rPr>
                <w:rFonts w:ascii="Times New Roman" w:hAnsi="Times New Roman" w:cs="Times New Roman"/>
                <w:sz w:val="24"/>
                <w:szCs w:val="24"/>
              </w:rPr>
            </w:pPr>
            <w:proofErr w:type="spellStart"/>
            <w:r w:rsidRPr="00CA7BDE">
              <w:rPr>
                <w:rFonts w:ascii="Times New Roman" w:hAnsi="Times New Roman" w:cs="Times New Roman"/>
                <w:sz w:val="24"/>
                <w:szCs w:val="24"/>
              </w:rPr>
              <w:t>Altyn</w:t>
            </w:r>
            <w:proofErr w:type="spellEnd"/>
            <w:r w:rsidRPr="00CA7BDE">
              <w:rPr>
                <w:rFonts w:ascii="Times New Roman" w:hAnsi="Times New Roman" w:cs="Times New Roman"/>
                <w:sz w:val="24"/>
                <w:szCs w:val="24"/>
              </w:rPr>
              <w:t xml:space="preserve"> Bank</w:t>
            </w:r>
          </w:p>
        </w:tc>
        <w:tc>
          <w:tcPr>
            <w:tcW w:w="2340" w:type="dxa"/>
          </w:tcPr>
          <w:p w14:paraId="7BB5101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22.0</w:t>
            </w:r>
          </w:p>
        </w:tc>
        <w:tc>
          <w:tcPr>
            <w:tcW w:w="2340" w:type="dxa"/>
          </w:tcPr>
          <w:p w14:paraId="6C373E96"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29.15</w:t>
            </w:r>
          </w:p>
        </w:tc>
        <w:tc>
          <w:tcPr>
            <w:tcW w:w="2340" w:type="dxa"/>
          </w:tcPr>
          <w:p w14:paraId="1E68E07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7.15</w:t>
            </w:r>
          </w:p>
        </w:tc>
      </w:tr>
      <w:tr w:rsidR="00032A51" w:rsidRPr="00CA7BDE" w14:paraId="36D2214A" w14:textId="77777777">
        <w:tc>
          <w:tcPr>
            <w:tcW w:w="2340" w:type="dxa"/>
          </w:tcPr>
          <w:p w14:paraId="0054858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Eurasian Bank</w:t>
            </w:r>
          </w:p>
        </w:tc>
        <w:tc>
          <w:tcPr>
            <w:tcW w:w="2340" w:type="dxa"/>
          </w:tcPr>
          <w:p w14:paraId="459301C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30.0</w:t>
            </w:r>
          </w:p>
        </w:tc>
        <w:tc>
          <w:tcPr>
            <w:tcW w:w="2340" w:type="dxa"/>
          </w:tcPr>
          <w:p w14:paraId="33B80D8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30.00</w:t>
            </w:r>
          </w:p>
        </w:tc>
        <w:tc>
          <w:tcPr>
            <w:tcW w:w="2340" w:type="dxa"/>
          </w:tcPr>
          <w:p w14:paraId="36ECD5C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r w:rsidR="00032A51" w:rsidRPr="00CA7BDE" w14:paraId="02076351" w14:textId="77777777">
        <w:tc>
          <w:tcPr>
            <w:tcW w:w="2340" w:type="dxa"/>
          </w:tcPr>
          <w:p w14:paraId="3653E03C"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Alatau City Bank</w:t>
            </w:r>
          </w:p>
        </w:tc>
        <w:tc>
          <w:tcPr>
            <w:tcW w:w="2340" w:type="dxa"/>
          </w:tcPr>
          <w:p w14:paraId="4ACE3B28"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37.0</w:t>
            </w:r>
          </w:p>
        </w:tc>
        <w:tc>
          <w:tcPr>
            <w:tcW w:w="2340" w:type="dxa"/>
          </w:tcPr>
          <w:p w14:paraId="64C053CE"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37.00</w:t>
            </w:r>
          </w:p>
        </w:tc>
        <w:tc>
          <w:tcPr>
            <w:tcW w:w="2340" w:type="dxa"/>
          </w:tcPr>
          <w:p w14:paraId="415C03B7"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0.00</w:t>
            </w:r>
          </w:p>
        </w:tc>
      </w:tr>
    </w:tbl>
    <w:p w14:paraId="7079DA1D"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Key figures:</w:t>
      </w:r>
    </w:p>
    <w:p w14:paraId="0DB17384" w14:textId="77777777" w:rsidR="00032A51" w:rsidRPr="00CA7BDE" w:rsidRDefault="00000000">
      <w:pPr>
        <w:pStyle w:val="a4"/>
        <w:numPr>
          <w:ilvl w:val="0"/>
          <w:numId w:val="3"/>
        </w:numPr>
        <w:rPr>
          <w:rFonts w:ascii="Times New Roman" w:hAnsi="Times New Roman" w:cs="Times New Roman"/>
          <w:sz w:val="24"/>
          <w:szCs w:val="24"/>
        </w:rPr>
      </w:pPr>
      <w:r w:rsidRPr="00CA7BDE">
        <w:rPr>
          <w:rFonts w:ascii="Times New Roman" w:hAnsi="Times New Roman" w:cs="Times New Roman"/>
          <w:sz w:val="24"/>
          <w:szCs w:val="24"/>
        </w:rPr>
        <w:t>Effective rates range from 19.0% to 37.0%, with a median of 24.7% and a mean of 25.6%.</w:t>
      </w:r>
    </w:p>
    <w:p w14:paraId="6BA9456C" w14:textId="77777777" w:rsidR="00032A51" w:rsidRPr="00CA7BDE" w:rsidRDefault="00000000">
      <w:pPr>
        <w:pStyle w:val="a4"/>
        <w:numPr>
          <w:ilvl w:val="0"/>
          <w:numId w:val="3"/>
        </w:numPr>
        <w:rPr>
          <w:rFonts w:ascii="Times New Roman" w:hAnsi="Times New Roman" w:cs="Times New Roman"/>
          <w:sz w:val="24"/>
          <w:szCs w:val="24"/>
        </w:rPr>
      </w:pPr>
      <w:r w:rsidRPr="00CA7BDE">
        <w:rPr>
          <w:rFonts w:ascii="Times New Roman" w:hAnsi="Times New Roman" w:cs="Times New Roman"/>
          <w:sz w:val="24"/>
          <w:szCs w:val="24"/>
        </w:rPr>
        <w:t xml:space="preserve">The cheapest banks are Home Credit Bank (19.0%), Freedom Bank and VTB (20.0% each). The most expensive are Alatau City Bank (37.0%), Eurasian Bank (30.0%) and </w:t>
      </w:r>
      <w:proofErr w:type="spellStart"/>
      <w:r w:rsidRPr="00CA7BDE">
        <w:rPr>
          <w:rFonts w:ascii="Times New Roman" w:hAnsi="Times New Roman" w:cs="Times New Roman"/>
          <w:sz w:val="24"/>
          <w:szCs w:val="24"/>
        </w:rPr>
        <w:t>Altyn</w:t>
      </w:r>
      <w:proofErr w:type="spellEnd"/>
      <w:r w:rsidRPr="00CA7BDE">
        <w:rPr>
          <w:rFonts w:ascii="Times New Roman" w:hAnsi="Times New Roman" w:cs="Times New Roman"/>
          <w:sz w:val="24"/>
          <w:szCs w:val="24"/>
        </w:rPr>
        <w:t xml:space="preserve"> Bank (29.15%).</w:t>
      </w:r>
    </w:p>
    <w:p w14:paraId="57D94275" w14:textId="77777777" w:rsidR="00032A51" w:rsidRPr="00CA7BDE" w:rsidRDefault="00000000">
      <w:pPr>
        <w:pStyle w:val="a4"/>
        <w:numPr>
          <w:ilvl w:val="0"/>
          <w:numId w:val="3"/>
        </w:numPr>
        <w:rPr>
          <w:rFonts w:ascii="Times New Roman" w:hAnsi="Times New Roman" w:cs="Times New Roman"/>
          <w:sz w:val="24"/>
          <w:szCs w:val="24"/>
        </w:rPr>
      </w:pPr>
      <w:r w:rsidRPr="00CA7BDE">
        <w:rPr>
          <w:rFonts w:ascii="Times New Roman" w:hAnsi="Times New Roman" w:cs="Times New Roman"/>
          <w:sz w:val="24"/>
          <w:szCs w:val="24"/>
        </w:rPr>
        <w:t>The mean effective rate exceeds inflation (9.8%) by 15.8 p.p., the NBK base rate (16.25%) by 9.4 p.p. and the NBK reference (21.93%) by 3.7 p.p.</w:t>
      </w:r>
    </w:p>
    <w:p w14:paraId="44D776DE" w14:textId="77777777" w:rsidR="00032A51" w:rsidRPr="00CA7BDE" w:rsidRDefault="00000000">
      <w:pPr>
        <w:pStyle w:val="a4"/>
        <w:numPr>
          <w:ilvl w:val="0"/>
          <w:numId w:val="3"/>
        </w:numPr>
        <w:rPr>
          <w:rFonts w:ascii="Times New Roman" w:hAnsi="Times New Roman" w:cs="Times New Roman"/>
          <w:sz w:val="24"/>
          <w:szCs w:val="24"/>
        </w:rPr>
      </w:pPr>
      <w:r w:rsidRPr="00CA7BDE">
        <w:rPr>
          <w:rFonts w:ascii="Times New Roman" w:hAnsi="Times New Roman" w:cs="Times New Roman"/>
          <w:sz w:val="24"/>
          <w:szCs w:val="24"/>
        </w:rPr>
        <w:t>8 of the 11 rates are above the NBK reference; Home Credit, Freedom and VTB are below it.</w:t>
      </w:r>
    </w:p>
    <w:p w14:paraId="18F7FFDD" w14:textId="77777777" w:rsidR="00032A51" w:rsidRPr="00CA7BDE" w:rsidRDefault="00000000">
      <w:pPr>
        <w:pStyle w:val="a4"/>
        <w:numPr>
          <w:ilvl w:val="0"/>
          <w:numId w:val="3"/>
        </w:numPr>
        <w:rPr>
          <w:rFonts w:ascii="Times New Roman" w:hAnsi="Times New Roman" w:cs="Times New Roman"/>
          <w:sz w:val="24"/>
          <w:szCs w:val="24"/>
        </w:rPr>
      </w:pPr>
      <w:r w:rsidRPr="00CA7BDE">
        <w:rPr>
          <w:rFonts w:ascii="Times New Roman" w:hAnsi="Times New Roman" w:cs="Times New Roman"/>
          <w:sz w:val="24"/>
          <w:szCs w:val="24"/>
        </w:rPr>
        <w:t>No bank offers an effective rate below the base rate; the closest is Home Credit, 2.75 p.p. above it.</w:t>
      </w:r>
    </w:p>
    <w:p w14:paraId="7D1F7342" w14:textId="77777777" w:rsidR="00032A51" w:rsidRPr="00CA7BDE" w:rsidRDefault="00000000">
      <w:pPr>
        <w:pStyle w:val="a4"/>
        <w:numPr>
          <w:ilvl w:val="0"/>
          <w:numId w:val="3"/>
        </w:numPr>
        <w:rPr>
          <w:rFonts w:ascii="Times New Roman" w:hAnsi="Times New Roman" w:cs="Times New Roman"/>
          <w:sz w:val="24"/>
          <w:szCs w:val="24"/>
        </w:rPr>
      </w:pPr>
      <w:r w:rsidRPr="00CA7BDE">
        <w:rPr>
          <w:rFonts w:ascii="Times New Roman" w:hAnsi="Times New Roman" w:cs="Times New Roman"/>
          <w:sz w:val="24"/>
          <w:szCs w:val="24"/>
        </w:rPr>
        <w:t xml:space="preserve">Commissions add 3.3 p.p. on average. Four banks add more than 5 p.p.: Bank RBK (+12.71), </w:t>
      </w:r>
      <w:proofErr w:type="spellStart"/>
      <w:r w:rsidRPr="00CA7BDE">
        <w:rPr>
          <w:rFonts w:ascii="Times New Roman" w:hAnsi="Times New Roman" w:cs="Times New Roman"/>
          <w:sz w:val="24"/>
          <w:szCs w:val="24"/>
        </w:rPr>
        <w:t>Centercredit</w:t>
      </w:r>
      <w:proofErr w:type="spellEnd"/>
      <w:r w:rsidRPr="00CA7BDE">
        <w:rPr>
          <w:rFonts w:ascii="Times New Roman" w:hAnsi="Times New Roman" w:cs="Times New Roman"/>
          <w:sz w:val="24"/>
          <w:szCs w:val="24"/>
        </w:rPr>
        <w:t xml:space="preserve"> (+9.05), Halyk (+7.19) and </w:t>
      </w:r>
      <w:proofErr w:type="spellStart"/>
      <w:r w:rsidRPr="00CA7BDE">
        <w:rPr>
          <w:rFonts w:ascii="Times New Roman" w:hAnsi="Times New Roman" w:cs="Times New Roman"/>
          <w:sz w:val="24"/>
          <w:szCs w:val="24"/>
        </w:rPr>
        <w:t>Altyn</w:t>
      </w:r>
      <w:proofErr w:type="spellEnd"/>
      <w:r w:rsidRPr="00CA7BDE">
        <w:rPr>
          <w:rFonts w:ascii="Times New Roman" w:hAnsi="Times New Roman" w:cs="Times New Roman"/>
          <w:sz w:val="24"/>
          <w:szCs w:val="24"/>
        </w:rPr>
        <w:t xml:space="preserve"> (+7.15).</w:t>
      </w:r>
    </w:p>
    <w:p w14:paraId="3A95B119"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noProof/>
          <w:sz w:val="24"/>
          <w:szCs w:val="24"/>
        </w:rPr>
        <w:drawing>
          <wp:inline distT="0" distB="0" distL="0" distR="0" wp14:anchorId="5E2D0593" wp14:editId="003BBE29">
            <wp:extent cx="5486400" cy="3180455"/>
            <wp:effectExtent l="0" t="0" r="0" b="0"/>
            <wp:docPr id="6" name="image6" descr="Figure 6. Effective consumer loan rates by bank"/>
            <wp:cNvGraphicFramePr/>
            <a:graphic xmlns:a="http://schemas.openxmlformats.org/drawingml/2006/main">
              <a:graphicData uri="http://schemas.openxmlformats.org/drawingml/2006/picture">
                <pic:pic xmlns:pic="http://schemas.openxmlformats.org/drawingml/2006/picture">
                  <pic:nvPicPr>
                    <pic:cNvPr id="6" name="image6" descr="Figure 6. Effective consumer loan rates by bank"/>
                    <pic:cNvPicPr/>
                  </pic:nvPicPr>
                  <pic:blipFill>
                    <a:blip r:embed="rId10"/>
                    <a:stretch>
                      <a:fillRect/>
                    </a:stretch>
                  </pic:blipFill>
                  <pic:spPr>
                    <a:xfrm>
                      <a:off x="0" y="0"/>
                      <a:ext cx="5486400" cy="3180455"/>
                    </a:xfrm>
                    <a:prstGeom prst="rect">
                      <a:avLst/>
                    </a:prstGeom>
                  </pic:spPr>
                </pic:pic>
              </a:graphicData>
            </a:graphic>
          </wp:inline>
        </w:drawing>
      </w:r>
    </w:p>
    <w:p w14:paraId="1BB7EB2B"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Figure 6. Bankchart effective rates (31.07.2026) with inflation, the NBK base rate and the NBK loan-rate reference; red bars exceed the NBK reference.</w:t>
      </w:r>
    </w:p>
    <w:p w14:paraId="79C5975A"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noProof/>
          <w:sz w:val="24"/>
          <w:szCs w:val="24"/>
        </w:rPr>
        <w:lastRenderedPageBreak/>
        <w:drawing>
          <wp:inline distT="0" distB="0" distL="0" distR="0" wp14:anchorId="0EFAD1A3" wp14:editId="47490A2C">
            <wp:extent cx="5486400" cy="3208071"/>
            <wp:effectExtent l="0" t="0" r="0" b="0"/>
            <wp:docPr id="7" name="image7" descr="Figure 7. Nominal vs effective rate by bank"/>
            <wp:cNvGraphicFramePr/>
            <a:graphic xmlns:a="http://schemas.openxmlformats.org/drawingml/2006/main">
              <a:graphicData uri="http://schemas.openxmlformats.org/drawingml/2006/picture">
                <pic:pic xmlns:pic="http://schemas.openxmlformats.org/drawingml/2006/picture">
                  <pic:nvPicPr>
                    <pic:cNvPr id="7" name="image7" descr="Figure 7. Nominal vs effective rate by bank"/>
                    <pic:cNvPicPr/>
                  </pic:nvPicPr>
                  <pic:blipFill>
                    <a:blip r:embed="rId11"/>
                    <a:stretch>
                      <a:fillRect/>
                    </a:stretch>
                  </pic:blipFill>
                  <pic:spPr>
                    <a:xfrm>
                      <a:off x="0" y="0"/>
                      <a:ext cx="5486400" cy="3208071"/>
                    </a:xfrm>
                    <a:prstGeom prst="rect">
                      <a:avLst/>
                    </a:prstGeom>
                  </pic:spPr>
                </pic:pic>
              </a:graphicData>
            </a:graphic>
          </wp:inline>
        </w:drawing>
      </w:r>
    </w:p>
    <w:p w14:paraId="2C4C438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i/>
          <w:sz w:val="24"/>
          <w:szCs w:val="24"/>
        </w:rPr>
        <w:t>Figure 7. Nominal vs effective rate: what commissions add to a consumer loan.</w:t>
      </w:r>
    </w:p>
    <w:p w14:paraId="04C7077B" w14:textId="77777777"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t>5. Conclusions</w:t>
      </w:r>
    </w:p>
    <w:p w14:paraId="6276BC11" w14:textId="77777777" w:rsidR="00032A51" w:rsidRPr="00CA7BDE" w:rsidRDefault="00000000" w:rsidP="0074313A">
      <w:pPr>
        <w:pStyle w:val="a4"/>
        <w:numPr>
          <w:ilvl w:val="0"/>
          <w:numId w:val="4"/>
        </w:numPr>
        <w:ind w:left="714" w:hanging="357"/>
        <w:rPr>
          <w:rFonts w:ascii="Times New Roman" w:hAnsi="Times New Roman" w:cs="Times New Roman"/>
          <w:sz w:val="24"/>
          <w:szCs w:val="24"/>
        </w:rPr>
      </w:pPr>
      <w:r w:rsidRPr="00CA7BDE">
        <w:rPr>
          <w:rFonts w:ascii="Times New Roman" w:hAnsi="Times New Roman" w:cs="Times New Roman"/>
          <w:b/>
          <w:sz w:val="24"/>
          <w:szCs w:val="24"/>
        </w:rPr>
        <w:t>Loan rates exceed inflation.</w:t>
      </w:r>
      <w:r w:rsidRPr="00CA7BDE">
        <w:rPr>
          <w:rFonts w:ascii="Times New Roman" w:hAnsi="Times New Roman" w:cs="Times New Roman"/>
          <w:sz w:val="24"/>
          <w:szCs w:val="24"/>
        </w:rPr>
        <w:t xml:space="preserve"> For the 19 years shared by the annual NBK and World Bank series (2005–2023), the average rate–inflation gap is about 10 p.p. The January–August 2026 mean (about 22%) is the highest among the annual summaries shown, but covers only 8 months.</w:t>
      </w:r>
    </w:p>
    <w:p w14:paraId="0019D5D6" w14:textId="77777777" w:rsidR="00032A51" w:rsidRPr="00CA7BDE" w:rsidRDefault="00000000" w:rsidP="0074313A">
      <w:pPr>
        <w:pStyle w:val="a4"/>
        <w:numPr>
          <w:ilvl w:val="0"/>
          <w:numId w:val="4"/>
        </w:numPr>
        <w:ind w:left="714" w:hanging="357"/>
        <w:rPr>
          <w:rFonts w:ascii="Times New Roman" w:hAnsi="Times New Roman" w:cs="Times New Roman"/>
          <w:sz w:val="24"/>
          <w:szCs w:val="24"/>
        </w:rPr>
      </w:pPr>
      <w:r w:rsidRPr="00CA7BDE">
        <w:rPr>
          <w:rFonts w:ascii="Times New Roman" w:hAnsi="Times New Roman" w:cs="Times New Roman"/>
          <w:b/>
          <w:sz w:val="24"/>
          <w:szCs w:val="24"/>
        </w:rPr>
        <w:t>Loan rates are sticky.</w:t>
      </w:r>
      <w:r w:rsidRPr="00CA7BDE">
        <w:rPr>
          <w:rFonts w:ascii="Times New Roman" w:hAnsi="Times New Roman" w:cs="Times New Roman"/>
          <w:sz w:val="24"/>
          <w:szCs w:val="24"/>
        </w:rPr>
        <w:t xml:space="preserve"> The annual NBK means move within a narrow band and show a weak correlation with inflation (r = −0.15) and the other macro indicators in this sample. Short periods of low real cost, such as 2008, 2016 and 2022–2023, occurred because inflation jumped while loan rates did not follow.</w:t>
      </w:r>
    </w:p>
    <w:p w14:paraId="7A2D174E" w14:textId="77777777" w:rsidR="00032A51" w:rsidRPr="00CA7BDE" w:rsidRDefault="00000000" w:rsidP="0074313A">
      <w:pPr>
        <w:pStyle w:val="a4"/>
        <w:numPr>
          <w:ilvl w:val="0"/>
          <w:numId w:val="4"/>
        </w:numPr>
        <w:ind w:left="714" w:hanging="357"/>
        <w:rPr>
          <w:rFonts w:ascii="Times New Roman" w:hAnsi="Times New Roman" w:cs="Times New Roman"/>
          <w:sz w:val="24"/>
          <w:szCs w:val="24"/>
        </w:rPr>
      </w:pPr>
      <w:r w:rsidRPr="00CA7BDE">
        <w:rPr>
          <w:rFonts w:ascii="Times New Roman" w:hAnsi="Times New Roman" w:cs="Times New Roman"/>
          <w:b/>
          <w:sz w:val="24"/>
          <w:szCs w:val="24"/>
        </w:rPr>
        <w:t>The advertised rate is misleading.</w:t>
      </w:r>
      <w:r w:rsidRPr="00CA7BDE">
        <w:rPr>
          <w:rFonts w:ascii="Times New Roman" w:hAnsi="Times New Roman" w:cs="Times New Roman"/>
          <w:sz w:val="24"/>
          <w:szCs w:val="24"/>
        </w:rPr>
        <w:t xml:space="preserve"> For four of 11 banks, fees and commissions add 7–13 p.p. to the nominal rate. Bank RBK advertises 11% but its effective rate is 23.71%. Borrowers should compare effective rates, not nominal ones.</w:t>
      </w:r>
    </w:p>
    <w:p w14:paraId="2EE3FDC1" w14:textId="77777777" w:rsidR="00032A51" w:rsidRPr="00CA7BDE" w:rsidRDefault="00000000" w:rsidP="0074313A">
      <w:pPr>
        <w:pStyle w:val="a4"/>
        <w:numPr>
          <w:ilvl w:val="0"/>
          <w:numId w:val="4"/>
        </w:numPr>
        <w:ind w:left="714" w:hanging="357"/>
        <w:rPr>
          <w:rFonts w:ascii="Times New Roman" w:hAnsi="Times New Roman" w:cs="Times New Roman"/>
          <w:sz w:val="24"/>
          <w:szCs w:val="24"/>
        </w:rPr>
      </w:pPr>
      <w:r w:rsidRPr="00CA7BDE">
        <w:rPr>
          <w:rFonts w:ascii="Times New Roman" w:hAnsi="Times New Roman" w:cs="Times New Roman"/>
          <w:b/>
          <w:sz w:val="24"/>
          <w:szCs w:val="24"/>
        </w:rPr>
        <w:t>Bank choice matters a lot.</w:t>
      </w:r>
      <w:r w:rsidRPr="00CA7BDE">
        <w:rPr>
          <w:rFonts w:ascii="Times New Roman" w:hAnsi="Times New Roman" w:cs="Times New Roman"/>
          <w:sz w:val="24"/>
          <w:szCs w:val="24"/>
        </w:rPr>
        <w:t xml:space="preserve"> The gap between the cheapest and the most expensive bank is 18 p.p. on the same type of loan, larger than the whole historical range of the average loan rate.</w:t>
      </w:r>
    </w:p>
    <w:p w14:paraId="7B8AA44F" w14:textId="77777777" w:rsidR="00032A51" w:rsidRPr="00CA7BDE" w:rsidRDefault="00000000" w:rsidP="0074313A">
      <w:pPr>
        <w:pStyle w:val="a4"/>
        <w:numPr>
          <w:ilvl w:val="0"/>
          <w:numId w:val="4"/>
        </w:numPr>
        <w:ind w:left="714" w:hanging="357"/>
        <w:rPr>
          <w:rFonts w:ascii="Times New Roman" w:hAnsi="Times New Roman" w:cs="Times New Roman"/>
          <w:sz w:val="24"/>
          <w:szCs w:val="24"/>
        </w:rPr>
      </w:pPr>
      <w:r w:rsidRPr="00CA7BDE">
        <w:rPr>
          <w:rFonts w:ascii="Times New Roman" w:hAnsi="Times New Roman" w:cs="Times New Roman"/>
          <w:b/>
          <w:sz w:val="24"/>
          <w:szCs w:val="24"/>
        </w:rPr>
        <w:t>Practical implication.</w:t>
      </w:r>
      <w:r w:rsidRPr="00CA7BDE">
        <w:rPr>
          <w:rFonts w:ascii="Times New Roman" w:hAnsi="Times New Roman" w:cs="Times New Roman"/>
          <w:sz w:val="24"/>
          <w:szCs w:val="24"/>
        </w:rPr>
        <w:t xml:space="preserve"> With inflation at 9.8% and the base rate at 16.25%, households face real borrowing costs of roughly 9–27 p.p. depending on the bank, so credit affordability depends mainly on comparing offers.</w:t>
      </w:r>
    </w:p>
    <w:p w14:paraId="10CE6AAE" w14:textId="77777777"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lastRenderedPageBreak/>
        <w:t>6. Limitations</w:t>
      </w:r>
    </w:p>
    <w:p w14:paraId="59FEB788" w14:textId="77777777" w:rsidR="0074313A" w:rsidRPr="0074313A" w:rsidRDefault="00CA7BDE" w:rsidP="0074313A">
      <w:pPr>
        <w:pStyle w:val="2"/>
        <w:numPr>
          <w:ilvl w:val="0"/>
          <w:numId w:val="7"/>
        </w:numPr>
        <w:spacing w:before="0" w:after="160" w:line="240" w:lineRule="auto"/>
        <w:ind w:left="714" w:hanging="357"/>
        <w:rPr>
          <w:rFonts w:ascii="Times New Roman" w:hAnsi="Times New Roman" w:cs="Times New Roman"/>
          <w:b w:val="0"/>
          <w:sz w:val="24"/>
          <w:szCs w:val="24"/>
        </w:rPr>
      </w:pPr>
      <w:r w:rsidRPr="00CA7BDE">
        <w:rPr>
          <w:rFonts w:ascii="Times New Roman" w:hAnsi="Times New Roman" w:cs="Times New Roman"/>
          <w:b w:val="0"/>
          <w:sz w:val="24"/>
          <w:szCs w:val="24"/>
        </w:rPr>
        <w:t xml:space="preserve">Period of macro data: </w:t>
      </w:r>
    </w:p>
    <w:p w14:paraId="3A142F73" w14:textId="64277D4C" w:rsidR="00CA7BDE" w:rsidRPr="00CA7BDE" w:rsidRDefault="00CA7BDE" w:rsidP="0074313A">
      <w:pPr>
        <w:pStyle w:val="2"/>
        <w:spacing w:before="0" w:after="160" w:line="240" w:lineRule="auto"/>
        <w:ind w:left="714"/>
        <w:rPr>
          <w:rFonts w:ascii="Times New Roman" w:hAnsi="Times New Roman" w:cs="Times New Roman"/>
          <w:b w:val="0"/>
          <w:sz w:val="24"/>
          <w:szCs w:val="24"/>
        </w:rPr>
      </w:pPr>
      <w:r w:rsidRPr="00CA7BDE">
        <w:rPr>
          <w:rFonts w:ascii="Times New Roman" w:hAnsi="Times New Roman" w:cs="Times New Roman"/>
          <w:b w:val="0"/>
          <w:sz w:val="24"/>
          <w:szCs w:val="24"/>
        </w:rPr>
        <w:t>World Bank annual indicators cover 2005–2023. Missing values for later years are not filled; the August 2026 inflation reference is entered separately.</w:t>
      </w:r>
    </w:p>
    <w:p w14:paraId="5FA57519" w14:textId="77777777" w:rsidR="0074313A" w:rsidRPr="0074313A" w:rsidRDefault="00CA7BDE" w:rsidP="0074313A">
      <w:pPr>
        <w:pStyle w:val="2"/>
        <w:numPr>
          <w:ilvl w:val="0"/>
          <w:numId w:val="7"/>
        </w:numPr>
        <w:spacing w:before="0" w:after="160" w:line="240" w:lineRule="auto"/>
        <w:ind w:left="714" w:hanging="357"/>
        <w:rPr>
          <w:rFonts w:ascii="Times New Roman" w:hAnsi="Times New Roman" w:cs="Times New Roman"/>
          <w:b w:val="0"/>
          <w:sz w:val="24"/>
          <w:szCs w:val="24"/>
        </w:rPr>
      </w:pPr>
      <w:r w:rsidRPr="00CA7BDE">
        <w:rPr>
          <w:rFonts w:ascii="Times New Roman" w:hAnsi="Times New Roman" w:cs="Times New Roman"/>
          <w:b w:val="0"/>
          <w:sz w:val="24"/>
          <w:szCs w:val="24"/>
        </w:rPr>
        <w:t xml:space="preserve">Aggregation level: </w:t>
      </w:r>
    </w:p>
    <w:p w14:paraId="7FC9DFEF" w14:textId="716ADFCA" w:rsidR="00CA7BDE" w:rsidRPr="00CA7BDE" w:rsidRDefault="0074313A" w:rsidP="0074313A">
      <w:pPr>
        <w:pStyle w:val="2"/>
        <w:spacing w:before="0" w:after="160" w:line="240" w:lineRule="auto"/>
        <w:ind w:left="714"/>
        <w:rPr>
          <w:rFonts w:ascii="Times New Roman" w:hAnsi="Times New Roman" w:cs="Times New Roman"/>
          <w:b w:val="0"/>
          <w:sz w:val="24"/>
          <w:szCs w:val="24"/>
        </w:rPr>
      </w:pPr>
      <w:r>
        <w:rPr>
          <w:rFonts w:ascii="Times New Roman" w:hAnsi="Times New Roman" w:cs="Times New Roman"/>
          <w:b w:val="0"/>
          <w:sz w:val="24"/>
          <w:szCs w:val="24"/>
        </w:rPr>
        <w:t>The historical NBK series covers loans to individuals, including individual entrepreneurs, in KZT; the bank comparison covers consumer cash loans. Annual NBK figures are means of monthly rates, and 2026 covers only eight months. The reference indicators and the Bankchart rating have different dates.</w:t>
      </w:r>
      <w:r w:rsidR="00CA7BDE" w:rsidRPr="00CA7BDE">
        <w:rPr>
          <w:rFonts w:ascii="Times New Roman" w:hAnsi="Times New Roman" w:cs="Times New Roman"/>
          <w:b w:val="0"/>
          <w:sz w:val="24"/>
          <w:szCs w:val="24"/>
        </w:rPr>
        <w:t/>
      </w:r>
    </w:p>
    <w:p w14:paraId="14FA87EA" w14:textId="77777777" w:rsidR="0074313A" w:rsidRDefault="00CA7BDE" w:rsidP="0074313A">
      <w:pPr>
        <w:pStyle w:val="2"/>
        <w:numPr>
          <w:ilvl w:val="0"/>
          <w:numId w:val="7"/>
        </w:numPr>
        <w:spacing w:before="0" w:after="160" w:line="240" w:lineRule="auto"/>
        <w:ind w:left="714" w:hanging="357"/>
        <w:rPr>
          <w:rFonts w:ascii="Times New Roman" w:hAnsi="Times New Roman" w:cs="Times New Roman"/>
          <w:b w:val="0"/>
          <w:sz w:val="24"/>
          <w:szCs w:val="24"/>
        </w:rPr>
      </w:pPr>
      <w:r w:rsidRPr="00CA7BDE">
        <w:rPr>
          <w:rFonts w:ascii="Times New Roman" w:hAnsi="Times New Roman" w:cs="Times New Roman"/>
          <w:b w:val="0"/>
          <w:sz w:val="24"/>
          <w:szCs w:val="24"/>
        </w:rPr>
        <w:t xml:space="preserve">Nature of the correlations: </w:t>
      </w:r>
    </w:p>
    <w:p w14:paraId="7EA0DAEB" w14:textId="3CCAB8DF" w:rsidR="00CA7BDE" w:rsidRPr="00CA7BDE" w:rsidRDefault="0074313A" w:rsidP="0074313A">
      <w:pPr>
        <w:pStyle w:val="2"/>
        <w:spacing w:before="0" w:after="160" w:line="240" w:lineRule="auto"/>
        <w:ind w:left="714"/>
        <w:rPr>
          <w:rFonts w:ascii="Times New Roman" w:hAnsi="Times New Roman" w:cs="Times New Roman"/>
          <w:b w:val="0"/>
          <w:sz w:val="24"/>
          <w:szCs w:val="24"/>
        </w:rPr>
      </w:pPr>
      <w:r>
        <w:rPr>
          <w:rFonts w:ascii="Times New Roman" w:hAnsi="Times New Roman" w:cs="Times New Roman"/>
          <w:b w:val="0"/>
          <w:sz w:val="24"/>
          <w:szCs w:val="24"/>
        </w:rPr>
        <w:t>C</w:t>
      </w:r>
      <w:r w:rsidR="00CA7BDE" w:rsidRPr="00CA7BDE">
        <w:rPr>
          <w:rFonts w:ascii="Times New Roman" w:hAnsi="Times New Roman" w:cs="Times New Roman"/>
          <w:b w:val="0"/>
          <w:sz w:val="24"/>
          <w:szCs w:val="24"/>
        </w:rPr>
        <w:t>orrelations based on 19 annual observations show how the indicators move together, but they do not prove causality by themselves.</w:t>
      </w:r>
    </w:p>
    <w:p w14:paraId="0461BC87" w14:textId="77777777" w:rsidR="0074313A" w:rsidRDefault="00CA7BDE" w:rsidP="0074313A">
      <w:pPr>
        <w:pStyle w:val="2"/>
        <w:numPr>
          <w:ilvl w:val="0"/>
          <w:numId w:val="7"/>
        </w:numPr>
        <w:spacing w:before="0" w:after="160" w:line="240" w:lineRule="auto"/>
        <w:ind w:left="714" w:hanging="357"/>
        <w:rPr>
          <w:rFonts w:ascii="Times New Roman" w:hAnsi="Times New Roman" w:cs="Times New Roman"/>
          <w:b w:val="0"/>
          <w:sz w:val="24"/>
          <w:szCs w:val="24"/>
        </w:rPr>
      </w:pPr>
      <w:r w:rsidRPr="00CA7BDE">
        <w:rPr>
          <w:rFonts w:ascii="Times New Roman" w:hAnsi="Times New Roman" w:cs="Times New Roman"/>
          <w:b w:val="0"/>
          <w:sz w:val="24"/>
          <w:szCs w:val="24"/>
        </w:rPr>
        <w:t xml:space="preserve">Snapshot of banks: </w:t>
      </w:r>
    </w:p>
    <w:p w14:paraId="7BFB5663" w14:textId="37C57D0A" w:rsidR="00CA7BDE" w:rsidRPr="00CA7BDE" w:rsidRDefault="0074313A" w:rsidP="0074313A">
      <w:pPr>
        <w:pStyle w:val="2"/>
        <w:spacing w:before="0" w:after="160" w:line="240" w:lineRule="auto"/>
        <w:ind w:left="714"/>
        <w:rPr>
          <w:rFonts w:ascii="Times New Roman" w:hAnsi="Times New Roman" w:cs="Times New Roman"/>
          <w:b w:val="0"/>
          <w:sz w:val="24"/>
          <w:szCs w:val="24"/>
        </w:rPr>
      </w:pPr>
      <w:r>
        <w:rPr>
          <w:rFonts w:ascii="Times New Roman" w:hAnsi="Times New Roman" w:cs="Times New Roman"/>
          <w:b w:val="0"/>
          <w:sz w:val="24"/>
          <w:szCs w:val="24"/>
        </w:rPr>
        <w:t>T</w:t>
      </w:r>
      <w:r w:rsidR="00CA7BDE" w:rsidRPr="00CA7BDE">
        <w:rPr>
          <w:rFonts w:ascii="Times New Roman" w:hAnsi="Times New Roman" w:cs="Times New Roman"/>
          <w:b w:val="0"/>
          <w:sz w:val="24"/>
          <w:szCs w:val="24"/>
        </w:rPr>
        <w:t>he comparison reflects 11 banks as of 07/31/2026 according to the standard rating scenario, and the actual offers for a particular borrower may vary.</w:t>
      </w:r>
    </w:p>
    <w:p w14:paraId="6882090B" w14:textId="77777777" w:rsidR="0074313A" w:rsidRPr="0074313A" w:rsidRDefault="00CA7BDE" w:rsidP="0074313A">
      <w:pPr>
        <w:pStyle w:val="2"/>
        <w:numPr>
          <w:ilvl w:val="0"/>
          <w:numId w:val="7"/>
        </w:numPr>
        <w:spacing w:before="0" w:after="160" w:line="240" w:lineRule="auto"/>
        <w:ind w:left="714" w:hanging="357"/>
        <w:rPr>
          <w:rFonts w:ascii="Times New Roman" w:hAnsi="Times New Roman" w:cs="Times New Roman"/>
          <w:b w:val="0"/>
          <w:sz w:val="24"/>
          <w:szCs w:val="24"/>
          <w:lang w:val="ru-RU"/>
        </w:rPr>
      </w:pPr>
      <w:r w:rsidRPr="00CA7BDE">
        <w:rPr>
          <w:rFonts w:ascii="Times New Roman" w:hAnsi="Times New Roman" w:cs="Times New Roman"/>
          <w:b w:val="0"/>
          <w:sz w:val="24"/>
          <w:szCs w:val="24"/>
        </w:rPr>
        <w:t xml:space="preserve">Data collection method: </w:t>
      </w:r>
    </w:p>
    <w:p w14:paraId="1342D6B3" w14:textId="2E5AB297" w:rsidR="00CA7BDE" w:rsidRPr="0074313A" w:rsidRDefault="00CA7BDE" w:rsidP="0074313A">
      <w:pPr>
        <w:pStyle w:val="2"/>
        <w:spacing w:before="0" w:after="160" w:line="240" w:lineRule="auto"/>
        <w:ind w:left="714"/>
        <w:rPr>
          <w:rFonts w:ascii="Times New Roman" w:hAnsi="Times New Roman" w:cs="Times New Roman"/>
          <w:b w:val="0"/>
          <w:sz w:val="24"/>
          <w:szCs w:val="24"/>
        </w:rPr>
      </w:pPr>
      <w:r w:rsidRPr="00CA7BDE">
        <w:rPr>
          <w:rFonts w:ascii="Times New Roman" w:hAnsi="Times New Roman" w:cs="Times New Roman"/>
          <w:b w:val="0"/>
          <w:sz w:val="24"/>
          <w:szCs w:val="24"/>
        </w:rPr>
        <w:t>The bids are extracted for the current page layout, and the same approach can be applied to future ratings.</w:t>
      </w:r>
    </w:p>
    <w:p w14:paraId="339BE858" w14:textId="0D04FBF6" w:rsidR="00032A51" w:rsidRPr="00CA7BDE" w:rsidRDefault="00000000" w:rsidP="00CA7BDE">
      <w:pPr>
        <w:pStyle w:val="2"/>
        <w:rPr>
          <w:rFonts w:ascii="Times New Roman" w:hAnsi="Times New Roman" w:cs="Times New Roman"/>
          <w:sz w:val="24"/>
          <w:szCs w:val="24"/>
        </w:rPr>
      </w:pPr>
      <w:r w:rsidRPr="00CA7BDE">
        <w:rPr>
          <w:rFonts w:ascii="Times New Roman" w:hAnsi="Times New Roman" w:cs="Times New Roman"/>
          <w:sz w:val="24"/>
          <w:szCs w:val="24"/>
        </w:rPr>
        <w:t>7. Tools and Reproducibility</w:t>
      </w:r>
    </w:p>
    <w:p w14:paraId="7F2D3495" w14:textId="77777777" w:rsidR="00032A51" w:rsidRPr="00CA7BDE" w:rsidRDefault="00000000">
      <w:pPr>
        <w:rPr>
          <w:rFonts w:ascii="Times New Roman" w:hAnsi="Times New Roman" w:cs="Times New Roman"/>
          <w:sz w:val="24"/>
          <w:szCs w:val="24"/>
        </w:rPr>
      </w:pPr>
      <w:r w:rsidRPr="00CA7BDE">
        <w:rPr>
          <w:rFonts w:ascii="Times New Roman" w:hAnsi="Times New Roman" w:cs="Times New Roman"/>
          <w:sz w:val="24"/>
          <w:szCs w:val="24"/>
        </w:rPr>
        <w:t xml:space="preserve">Python with </w:t>
      </w:r>
      <w:r w:rsidRPr="00CA7BDE">
        <w:rPr>
          <w:rStyle w:val="CodeChar"/>
          <w:rFonts w:ascii="Times New Roman" w:hAnsi="Times New Roman" w:cs="Times New Roman"/>
          <w:sz w:val="24"/>
          <w:szCs w:val="24"/>
        </w:rPr>
        <w:t>requests</w:t>
      </w:r>
      <w:r w:rsidRPr="00CA7BDE">
        <w:rPr>
          <w:rFonts w:ascii="Times New Roman" w:hAnsi="Times New Roman" w:cs="Times New Roman"/>
          <w:sz w:val="24"/>
          <w:szCs w:val="24"/>
        </w:rPr>
        <w:t xml:space="preserve">, </w:t>
      </w:r>
      <w:r w:rsidRPr="00CA7BDE">
        <w:rPr>
          <w:rStyle w:val="CodeChar"/>
          <w:rFonts w:ascii="Times New Roman" w:hAnsi="Times New Roman" w:cs="Times New Roman"/>
          <w:sz w:val="24"/>
          <w:szCs w:val="24"/>
        </w:rPr>
        <w:t>pandas</w:t>
      </w:r>
      <w:r w:rsidRPr="00CA7BDE">
        <w:rPr>
          <w:rFonts w:ascii="Times New Roman" w:hAnsi="Times New Roman" w:cs="Times New Roman"/>
          <w:sz w:val="24"/>
          <w:szCs w:val="24"/>
        </w:rPr>
        <w:t xml:space="preserve">, </w:t>
      </w:r>
      <w:proofErr w:type="spellStart"/>
      <w:r w:rsidRPr="00CA7BDE">
        <w:rPr>
          <w:rStyle w:val="CodeChar"/>
          <w:rFonts w:ascii="Times New Roman" w:hAnsi="Times New Roman" w:cs="Times New Roman"/>
          <w:sz w:val="24"/>
          <w:szCs w:val="24"/>
        </w:rPr>
        <w:t>numpy</w:t>
      </w:r>
      <w:proofErr w:type="spellEnd"/>
      <w:r w:rsidRPr="00CA7BDE">
        <w:rPr>
          <w:rFonts w:ascii="Times New Roman" w:hAnsi="Times New Roman" w:cs="Times New Roman"/>
          <w:sz w:val="24"/>
          <w:szCs w:val="24"/>
        </w:rPr>
        <w:t xml:space="preserve">, </w:t>
      </w:r>
      <w:r w:rsidRPr="00CA7BDE">
        <w:rPr>
          <w:rStyle w:val="CodeChar"/>
          <w:rFonts w:ascii="Times New Roman" w:hAnsi="Times New Roman" w:cs="Times New Roman"/>
          <w:sz w:val="24"/>
          <w:szCs w:val="24"/>
        </w:rPr>
        <w:t>matplotlib</w:t>
      </w:r>
      <w:r w:rsidRPr="00CA7BDE">
        <w:rPr>
          <w:rFonts w:ascii="Times New Roman" w:hAnsi="Times New Roman" w:cs="Times New Roman"/>
          <w:sz w:val="24"/>
          <w:szCs w:val="24"/>
        </w:rPr>
        <w:t xml:space="preserve">, </w:t>
      </w:r>
      <w:r w:rsidRPr="00CA7BDE">
        <w:rPr>
          <w:rStyle w:val="CodeChar"/>
          <w:rFonts w:ascii="Times New Roman" w:hAnsi="Times New Roman" w:cs="Times New Roman"/>
          <w:sz w:val="24"/>
          <w:szCs w:val="24"/>
        </w:rPr>
        <w:t>seaborn</w:t>
      </w:r>
      <w:r w:rsidRPr="00CA7BDE">
        <w:rPr>
          <w:rFonts w:ascii="Times New Roman" w:hAnsi="Times New Roman" w:cs="Times New Roman"/>
          <w:sz w:val="24"/>
          <w:szCs w:val="24"/>
        </w:rPr>
        <w:t xml:space="preserve">, </w:t>
      </w:r>
      <w:r w:rsidRPr="00CA7BDE">
        <w:rPr>
          <w:rStyle w:val="CodeChar"/>
          <w:rFonts w:ascii="Times New Roman" w:hAnsi="Times New Roman" w:cs="Times New Roman"/>
          <w:sz w:val="24"/>
          <w:szCs w:val="24"/>
        </w:rPr>
        <w:t>beautifulsoup4</w:t>
      </w:r>
      <w:r w:rsidRPr="00CA7BDE">
        <w:rPr>
          <w:rFonts w:ascii="Times New Roman" w:hAnsi="Times New Roman" w:cs="Times New Roman"/>
          <w:sz w:val="24"/>
          <w:szCs w:val="24"/>
        </w:rPr>
        <w:t xml:space="preserve"> and </w:t>
      </w:r>
      <w:proofErr w:type="spellStart"/>
      <w:r w:rsidRPr="00CA7BDE">
        <w:rPr>
          <w:rFonts w:ascii="Times New Roman" w:hAnsi="Times New Roman" w:cs="Times New Roman"/>
          <w:sz w:val="24"/>
          <w:szCs w:val="24"/>
        </w:rPr>
        <w:t>Jupyter</w:t>
      </w:r>
      <w:proofErr w:type="spellEnd"/>
      <w:r w:rsidRPr="00CA7BDE">
        <w:rPr>
          <w:rFonts w:ascii="Times New Roman" w:hAnsi="Times New Roman" w:cs="Times New Roman"/>
          <w:sz w:val="24"/>
          <w:szCs w:val="24"/>
        </w:rPr>
        <w:t xml:space="preserve"> (see </w:t>
      </w:r>
      <w:r w:rsidRPr="00CA7BDE">
        <w:rPr>
          <w:rStyle w:val="CodeChar"/>
          <w:rFonts w:ascii="Times New Roman" w:hAnsi="Times New Roman" w:cs="Times New Roman"/>
          <w:sz w:val="24"/>
          <w:szCs w:val="24"/>
        </w:rPr>
        <w:t>requirements.txt</w:t>
      </w:r>
      <w:r w:rsidRPr="00CA7BDE">
        <w:rPr>
          <w:rFonts w:ascii="Times New Roman" w:hAnsi="Times New Roman" w:cs="Times New Roman"/>
          <w:sz w:val="24"/>
          <w:szCs w:val="24"/>
        </w:rPr>
        <w:t>). The notebook produces seven figures: loan rate vs inflation over time with crisis periods marked, rate minus inflation by year, effective rate by bank against the three benchmarks, nominal vs effective rate by bank, an inflation vs loan rate scatter plot, macro indicator trends, and a correlation heatmap.</w:t>
      </w:r>
    </w:p>
    <w:p w14:paraId="04473650" w14:textId="77777777" w:rsidR="00032A51" w:rsidRPr="00CA7BDE" w:rsidRDefault="00000000">
      <w:pPr>
        <w:pStyle w:val="2"/>
        <w:rPr>
          <w:rFonts w:ascii="Times New Roman" w:hAnsi="Times New Roman" w:cs="Times New Roman"/>
          <w:sz w:val="24"/>
          <w:szCs w:val="24"/>
        </w:rPr>
      </w:pPr>
      <w:r w:rsidRPr="00CA7BDE">
        <w:rPr>
          <w:rFonts w:ascii="Times New Roman" w:hAnsi="Times New Roman" w:cs="Times New Roman"/>
          <w:sz w:val="24"/>
          <w:szCs w:val="24"/>
        </w:rPr>
        <w:t>8. Data Sources</w:t>
      </w:r>
    </w:p>
    <w:p w14:paraId="3AFB4A0B" w14:textId="77777777" w:rsidR="00032A51" w:rsidRPr="00CA7BDE" w:rsidRDefault="00000000">
      <w:pPr>
        <w:pStyle w:val="a4"/>
        <w:numPr>
          <w:ilvl w:val="0"/>
          <w:numId w:val="6"/>
        </w:numPr>
        <w:rPr>
          <w:rFonts w:ascii="Times New Roman" w:hAnsi="Times New Roman" w:cs="Times New Roman"/>
          <w:sz w:val="24"/>
          <w:szCs w:val="24"/>
        </w:rPr>
      </w:pPr>
      <w:r w:rsidRPr="00CA7BDE">
        <w:rPr>
          <w:rFonts w:ascii="Times New Roman" w:hAnsi="Times New Roman" w:cs="Times New Roman"/>
          <w:sz w:val="24"/>
          <w:szCs w:val="24"/>
        </w:rPr>
        <w:t xml:space="preserve">World Bank, World Development Indicators, via </w:t>
      </w:r>
      <w:proofErr w:type="spellStart"/>
      <w:r w:rsidRPr="00CA7BDE">
        <w:rPr>
          <w:rFonts w:ascii="Times New Roman" w:hAnsi="Times New Roman" w:cs="Times New Roman"/>
          <w:sz w:val="24"/>
          <w:szCs w:val="24"/>
        </w:rPr>
        <w:t>DBnomics</w:t>
      </w:r>
      <w:proofErr w:type="spellEnd"/>
      <w:r w:rsidRPr="00CA7BDE">
        <w:rPr>
          <w:rFonts w:ascii="Times New Roman" w:hAnsi="Times New Roman" w:cs="Times New Roman"/>
          <w:sz w:val="24"/>
          <w:szCs w:val="24"/>
        </w:rPr>
        <w:t xml:space="preserve"> (</w:t>
      </w:r>
      <w:proofErr w:type="spellStart"/>
      <w:r w:rsidRPr="00CA7BDE">
        <w:rPr>
          <w:rFonts w:ascii="Times New Roman" w:hAnsi="Times New Roman" w:cs="Times New Roman"/>
          <w:sz w:val="24"/>
          <w:szCs w:val="24"/>
        </w:rPr>
        <w:t>api.</w:t>
      </w:r>
      <w:proofErr w:type="gramStart"/>
      <w:r w:rsidRPr="00CA7BDE">
        <w:rPr>
          <w:rFonts w:ascii="Times New Roman" w:hAnsi="Times New Roman" w:cs="Times New Roman"/>
          <w:sz w:val="24"/>
          <w:szCs w:val="24"/>
        </w:rPr>
        <w:t>db.nomics</w:t>
      </w:r>
      <w:proofErr w:type="gramEnd"/>
      <w:r w:rsidRPr="00CA7BDE">
        <w:rPr>
          <w:rFonts w:ascii="Times New Roman" w:hAnsi="Times New Roman" w:cs="Times New Roman"/>
          <w:sz w:val="24"/>
          <w:szCs w:val="24"/>
        </w:rPr>
        <w:t>.world</w:t>
      </w:r>
      <w:proofErr w:type="spellEnd"/>
      <w:r w:rsidRPr="00CA7BDE">
        <w:rPr>
          <w:rFonts w:ascii="Times New Roman" w:hAnsi="Times New Roman" w:cs="Times New Roman"/>
          <w:sz w:val="24"/>
          <w:szCs w:val="24"/>
        </w:rPr>
        <w:t>)</w:t>
      </w:r>
    </w:p>
    <w:p w14:paraId="55545D90" w14:textId="77777777" w:rsidR="00032A51" w:rsidRPr="00CA7BDE" w:rsidRDefault="00000000">
      <w:pPr>
        <w:pStyle w:val="a4"/>
        <w:numPr>
          <w:ilvl w:val="0"/>
          <w:numId w:val="6"/>
        </w:numPr>
        <w:rPr>
          <w:rFonts w:ascii="Times New Roman" w:hAnsi="Times New Roman" w:cs="Times New Roman"/>
          <w:sz w:val="24"/>
          <w:szCs w:val="24"/>
        </w:rPr>
      </w:pPr>
      <w:r w:rsidRPr="00CA7BDE">
        <w:rPr>
          <w:rFonts w:ascii="Times New Roman" w:hAnsi="Times New Roman" w:cs="Times New Roman"/>
          <w:sz w:val="24"/>
          <w:szCs w:val="24"/>
        </w:rPr>
        <w:t>bankchart.kz, consumer loan ratings (accessed under its robots.txt rules)</w:t>
      </w:r>
    </w:p>
    <w:p w14:paraId="209647CA" w14:textId="77777777" w:rsidR="00032A51" w:rsidRPr="00CA7BDE" w:rsidRDefault="00000000">
      <w:pPr>
        <w:pStyle w:val="a4"/>
        <w:numPr>
          <w:ilvl w:val="0"/>
          <w:numId w:val="6"/>
        </w:numPr>
        <w:rPr>
          <w:rFonts w:ascii="Times New Roman" w:hAnsi="Times New Roman" w:cs="Times New Roman"/>
          <w:sz w:val="24"/>
          <w:szCs w:val="24"/>
        </w:rPr>
      </w:pPr>
      <w:r w:rsidRPr="00CA7BDE">
        <w:rPr>
          <w:rFonts w:ascii="Times New Roman" w:hAnsi="Times New Roman" w:cs="Times New Roman"/>
          <w:sz w:val="24"/>
          <w:szCs w:val="24"/>
        </w:rPr>
        <w:t>National Bank of Kazakhstan, interest rates on loans issued by second-tier banks (Excel file)</w:t>
      </w:r>
    </w:p>
    <w:sectPr w:rsidR="00032A51" w:rsidRPr="00CA7B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57E20"/>
    <w:multiLevelType w:val="hybridMultilevel"/>
    <w:tmpl w:val="D2B87AE6"/>
    <w:lvl w:ilvl="0" w:tplc="3DF4457C">
      <w:start w:val="1"/>
      <w:numFmt w:val="bullet"/>
      <w:lvlText w:val="•"/>
      <w:lvlJc w:val="left"/>
      <w:pPr>
        <w:ind w:left="720" w:hanging="360"/>
      </w:pPr>
    </w:lvl>
    <w:lvl w:ilvl="1" w:tplc="39EC6BB8">
      <w:start w:val="1"/>
      <w:numFmt w:val="bullet"/>
      <w:lvlText w:val="o"/>
      <w:lvlJc w:val="left"/>
      <w:pPr>
        <w:ind w:left="1440" w:hanging="360"/>
      </w:pPr>
    </w:lvl>
    <w:lvl w:ilvl="2" w:tplc="FAE4B3A4">
      <w:start w:val="1"/>
      <w:numFmt w:val="bullet"/>
      <w:lvlText w:val="▪"/>
      <w:lvlJc w:val="left"/>
      <w:pPr>
        <w:ind w:left="2160" w:hanging="360"/>
      </w:pPr>
    </w:lvl>
    <w:lvl w:ilvl="3" w:tplc="19924EB4">
      <w:start w:val="1"/>
      <w:numFmt w:val="bullet"/>
      <w:lvlText w:val="•"/>
      <w:lvlJc w:val="left"/>
      <w:pPr>
        <w:ind w:left="2880" w:hanging="360"/>
      </w:pPr>
    </w:lvl>
    <w:lvl w:ilvl="4" w:tplc="D5F6DDE6">
      <w:start w:val="1"/>
      <w:numFmt w:val="bullet"/>
      <w:lvlText w:val="o"/>
      <w:lvlJc w:val="left"/>
      <w:pPr>
        <w:ind w:left="3600" w:hanging="360"/>
      </w:pPr>
    </w:lvl>
    <w:lvl w:ilvl="5" w:tplc="428EAF32">
      <w:start w:val="1"/>
      <w:numFmt w:val="bullet"/>
      <w:lvlText w:val="▪"/>
      <w:lvlJc w:val="left"/>
      <w:pPr>
        <w:ind w:left="4320" w:hanging="360"/>
      </w:pPr>
    </w:lvl>
    <w:lvl w:ilvl="6" w:tplc="BFB2B588">
      <w:start w:val="1"/>
      <w:numFmt w:val="bullet"/>
      <w:lvlText w:val="•"/>
      <w:lvlJc w:val="left"/>
      <w:pPr>
        <w:ind w:left="5040" w:hanging="360"/>
      </w:pPr>
    </w:lvl>
    <w:lvl w:ilvl="7" w:tplc="B8D8AE4A">
      <w:start w:val="1"/>
      <w:numFmt w:val="bullet"/>
      <w:lvlText w:val="o"/>
      <w:lvlJc w:val="left"/>
      <w:pPr>
        <w:ind w:left="5760" w:hanging="360"/>
      </w:pPr>
    </w:lvl>
    <w:lvl w:ilvl="8" w:tplc="D08E5DDE">
      <w:start w:val="1"/>
      <w:numFmt w:val="bullet"/>
      <w:lvlText w:val="▪"/>
      <w:lvlJc w:val="left"/>
      <w:pPr>
        <w:ind w:left="6480" w:hanging="360"/>
      </w:pPr>
    </w:lvl>
  </w:abstractNum>
  <w:abstractNum w:abstractNumId="1" w15:restartNumberingAfterBreak="0">
    <w:nsid w:val="48A94D38"/>
    <w:multiLevelType w:val="hybridMultilevel"/>
    <w:tmpl w:val="5A2A737E"/>
    <w:lvl w:ilvl="0" w:tplc="30FC8236">
      <w:start w:val="1"/>
      <w:numFmt w:val="decimal"/>
      <w:lvlText w:val="%1."/>
      <w:lvlJc w:val="left"/>
      <w:pPr>
        <w:ind w:left="720" w:hanging="360"/>
      </w:pPr>
    </w:lvl>
    <w:lvl w:ilvl="1" w:tplc="BF4C3CA2">
      <w:start w:val="1"/>
      <w:numFmt w:val="lowerLetter"/>
      <w:lvlText w:val="%2."/>
      <w:lvlJc w:val="left"/>
      <w:pPr>
        <w:ind w:left="1440" w:hanging="360"/>
      </w:pPr>
    </w:lvl>
    <w:lvl w:ilvl="2" w:tplc="9AF8BF72">
      <w:start w:val="1"/>
      <w:numFmt w:val="lowerRoman"/>
      <w:lvlText w:val="%3."/>
      <w:lvlJc w:val="left"/>
      <w:pPr>
        <w:ind w:left="2160" w:hanging="360"/>
      </w:pPr>
    </w:lvl>
    <w:lvl w:ilvl="3" w:tplc="FDA2B3C8">
      <w:start w:val="1"/>
      <w:numFmt w:val="decimal"/>
      <w:lvlText w:val="%4."/>
      <w:lvlJc w:val="left"/>
      <w:pPr>
        <w:ind w:left="2880" w:hanging="360"/>
      </w:pPr>
    </w:lvl>
    <w:lvl w:ilvl="4" w:tplc="759EB5E8">
      <w:start w:val="1"/>
      <w:numFmt w:val="lowerLetter"/>
      <w:lvlText w:val="%5."/>
      <w:lvlJc w:val="left"/>
      <w:pPr>
        <w:ind w:left="3600" w:hanging="360"/>
      </w:pPr>
    </w:lvl>
    <w:lvl w:ilvl="5" w:tplc="1AF482E6">
      <w:start w:val="1"/>
      <w:numFmt w:val="lowerRoman"/>
      <w:lvlText w:val="%6."/>
      <w:lvlJc w:val="left"/>
      <w:pPr>
        <w:ind w:left="4320" w:hanging="360"/>
      </w:pPr>
    </w:lvl>
    <w:lvl w:ilvl="6" w:tplc="4EC0B35C">
      <w:start w:val="1"/>
      <w:numFmt w:val="decimal"/>
      <w:lvlText w:val="%7."/>
      <w:lvlJc w:val="left"/>
      <w:pPr>
        <w:ind w:left="5040" w:hanging="360"/>
      </w:pPr>
    </w:lvl>
    <w:lvl w:ilvl="7" w:tplc="749E49C2">
      <w:start w:val="1"/>
      <w:numFmt w:val="lowerLetter"/>
      <w:lvlText w:val="%8."/>
      <w:lvlJc w:val="left"/>
      <w:pPr>
        <w:ind w:left="5760" w:hanging="360"/>
      </w:pPr>
    </w:lvl>
    <w:lvl w:ilvl="8" w:tplc="EBFA7660">
      <w:start w:val="1"/>
      <w:numFmt w:val="lowerRoman"/>
      <w:lvlText w:val="%9."/>
      <w:lvlJc w:val="left"/>
      <w:pPr>
        <w:ind w:left="6480" w:hanging="360"/>
      </w:pPr>
    </w:lvl>
  </w:abstractNum>
  <w:abstractNum w:abstractNumId="2" w15:restartNumberingAfterBreak="0">
    <w:nsid w:val="6BD755F9"/>
    <w:multiLevelType w:val="hybridMultilevel"/>
    <w:tmpl w:val="D5C448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25018986">
    <w:abstractNumId w:val="0"/>
  </w:num>
  <w:num w:numId="2" w16cid:durableId="1524591955">
    <w:abstractNumId w:val="1"/>
    <w:lvlOverride w:ilvl="0">
      <w:startOverride w:val="1"/>
    </w:lvlOverride>
  </w:num>
  <w:num w:numId="3" w16cid:durableId="707491202">
    <w:abstractNumId w:val="0"/>
  </w:num>
  <w:num w:numId="4" w16cid:durableId="812792242">
    <w:abstractNumId w:val="1"/>
    <w:lvlOverride w:ilvl="0">
      <w:startOverride w:val="1"/>
    </w:lvlOverride>
  </w:num>
  <w:num w:numId="5" w16cid:durableId="507258737">
    <w:abstractNumId w:val="0"/>
  </w:num>
  <w:num w:numId="6" w16cid:durableId="872688875">
    <w:abstractNumId w:val="0"/>
  </w:num>
  <w:num w:numId="7" w16cid:durableId="27722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51"/>
    <w:rsid w:val="00032A51"/>
    <w:rsid w:val="0074313A"/>
    <w:rsid w:val="00993972"/>
    <w:rsid w:val="00B96578"/>
    <w:rsid w:val="00CA7BD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D637"/>
  <w15:docId w15:val="{1479F947-2D12-5141-96EC-9C46195D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1469</Words>
  <Characters>8378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Credit Affordability &amp; Interest Rate Trends in Kazakhstan</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Affordability &amp; Interest Rate Trends in Kazakhstan</dc:title>
  <dc:description>Claude Docs node/6df5311f-2043@2 docx-w6</dc:description>
  <cp:lastModifiedBy>Aigerim Zhumzhumina</cp:lastModifiedBy>
  <cp:revision>2</cp:revision>
  <dcterms:created xsi:type="dcterms:W3CDTF">2026-10-07T18:03:00Z</dcterms:created>
  <dcterms:modified xsi:type="dcterms:W3CDTF">2026-10-07T18:03:00Z</dcterms:modified>
</cp:coreProperties>
</file>