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0FA81D4A"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w:t>
      </w:r>
      <w:r w:rsidR="00B23744">
        <w:rPr>
          <w:rFonts w:ascii="TradeGothic LT" w:hAnsi="TradeGothic LT" w:cs="Arial"/>
          <w:sz w:val="24"/>
          <w:szCs w:val="24"/>
          <w:lang w:val="es-ES_tradnl"/>
        </w:rPr>
        <w:t>residencia</w:t>
      </w:r>
      <w:r w:rsidRPr="00205917">
        <w:rPr>
          <w:rFonts w:ascii="TradeGothic LT" w:hAnsi="TradeGothic LT" w:cs="Arial"/>
          <w:sz w:val="24"/>
          <w:szCs w:val="24"/>
          <w:lang w:val="es-ES_tradnl"/>
        </w:rPr>
        <w:t xml:space="preserve">,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xml:space="preserve">, con teléfono celular número </w:t>
      </w:r>
      <w:r w:rsidR="00034CC9">
        <w:rPr>
          <w:rFonts w:ascii="TradeGothic LT" w:hAnsi="TradeGothic LT" w:cs="Arial"/>
          <w:color w:val="000000"/>
          <w:sz w:val="24"/>
          <w:szCs w:val="24"/>
          <w:highlight w:val="white"/>
          <w:lang w:val="es"/>
        </w:rPr>
        <w:t>celular_empleado</w:t>
      </w:r>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r w:rsidR="00034CC9">
        <w:rPr>
          <w:rFonts w:ascii="TradeGothic LT" w:hAnsi="TradeGothic LT" w:cs="Arial"/>
          <w:sz w:val="24"/>
          <w:szCs w:val="24"/>
          <w:highlight w:val="white"/>
          <w:lang w:val="es"/>
        </w:rPr>
        <w:t>correo_empleado</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5BF5D36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ADMINISTRADOR DE OFICINA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54FEBCFA"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r w:rsidR="009B4614" w:rsidRPr="009B4614">
        <w:rPr>
          <w:rFonts w:ascii="TradeGothic LT" w:hAnsi="TradeGothic LT" w:cs="Arial"/>
          <w:color w:val="000000"/>
          <w:sz w:val="24"/>
          <w:szCs w:val="24"/>
          <w:lang w:val="es"/>
        </w:rPr>
        <w:t>ubicacion_trabajo</w:t>
      </w:r>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7A87CEBB"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B23744">
        <w:rPr>
          <w:rFonts w:ascii="TradeGothic LT" w:hAnsi="TradeGothic LT" w:cs="Arial"/>
          <w:sz w:val="24"/>
          <w:szCs w:val="24"/>
          <w:lang w:val="es-ES_tradnl"/>
        </w:rPr>
        <w:t>residencia</w:t>
      </w:r>
      <w:r w:rsidR="00B23744" w:rsidRPr="00205917">
        <w:rPr>
          <w:rFonts w:ascii="TradeGothic LT" w:hAnsi="TradeGothic LT" w:cs="Arial"/>
          <w:color w:val="000000"/>
          <w:sz w:val="24"/>
          <w:szCs w:val="24"/>
          <w:highlight w:val="white"/>
          <w:lang w:val="es"/>
        </w:rPr>
        <w:t xml:space="preserve"> </w:t>
      </w:r>
      <w:r w:rsidRPr="00205917">
        <w:rPr>
          <w:rFonts w:ascii="TradeGothic LT" w:hAnsi="TradeGothic LT" w:cs="Arial"/>
          <w:color w:val="000000"/>
          <w:sz w:val="24"/>
          <w:szCs w:val="24"/>
          <w:highlight w:val="white"/>
          <w:lang w:val="es"/>
        </w:rPr>
        <w:t xml:space="preserve">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B23744"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B23744"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8A32" w14:textId="77777777" w:rsidR="00AE2395" w:rsidRDefault="00AE2395" w:rsidP="00E00E35">
      <w:pPr>
        <w:spacing w:after="0" w:line="240" w:lineRule="auto"/>
      </w:pPr>
      <w:r>
        <w:separator/>
      </w:r>
    </w:p>
  </w:endnote>
  <w:endnote w:type="continuationSeparator" w:id="0">
    <w:p w14:paraId="6F1BBD4E" w14:textId="77777777" w:rsidR="00AE2395" w:rsidRDefault="00AE2395"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404AC" w14:textId="77777777" w:rsidR="00AE2395" w:rsidRDefault="00AE2395" w:rsidP="00E00E35">
      <w:pPr>
        <w:spacing w:after="0" w:line="240" w:lineRule="auto"/>
      </w:pPr>
      <w:r>
        <w:separator/>
      </w:r>
    </w:p>
  </w:footnote>
  <w:footnote w:type="continuationSeparator" w:id="0">
    <w:p w14:paraId="0A94B99D" w14:textId="77777777" w:rsidR="00AE2395" w:rsidRDefault="00AE2395"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15133D"/>
    <w:rsid w:val="001A3104"/>
    <w:rsid w:val="0031573B"/>
    <w:rsid w:val="00475CE1"/>
    <w:rsid w:val="00497F89"/>
    <w:rsid w:val="008726CB"/>
    <w:rsid w:val="0090400A"/>
    <w:rsid w:val="009B4614"/>
    <w:rsid w:val="00A133F4"/>
    <w:rsid w:val="00AE2395"/>
    <w:rsid w:val="00B23744"/>
    <w:rsid w:val="00C94FA9"/>
    <w:rsid w:val="00E00E35"/>
    <w:rsid w:val="00E47254"/>
    <w:rsid w:val="00F562FB"/>
    <w:rsid w:val="00F827E3"/>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4</cp:revision>
  <dcterms:created xsi:type="dcterms:W3CDTF">2022-07-12T14:42:00Z</dcterms:created>
  <dcterms:modified xsi:type="dcterms:W3CDTF">2022-07-13T21:47:00Z</dcterms:modified>
</cp:coreProperties>
</file>