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Less reasoning, better sensory predictions in sensometrics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more prone to structured-output failures.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Related work</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and LLM scoring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pPr>
        <w:pStyle w:val="Heading2"/>
      </w:pPr>
      <w:r>
        <w:t>Semantic Similarity Rating</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 and methods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Products</w:t>
            </w:r>
          </w:p>
        </w:tc>
        <w:tc>
          <w:tcPr>
            <w:tcW w:type="dxa" w:w="4680"/>
          </w:tcPr>
          <w:p>
            <w:r>
              <w:rPr>
                <w:rFonts w:ascii="Times New Roman" w:hAnsi="Times New Roman"/>
                <w:b/>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LLM scoring and prediction pipeline</w:t>
      </w:r>
    </w:p>
    <w:p>
      <w:r>
        <w:t>Direct LLM alignment scoring</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structured-output failures.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r>
        <w:t>Model grid and validation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presentation analysis described a 27-configuration grid: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Scale size</w:t>
            </w:r>
          </w:p>
        </w:tc>
        <w:tc>
          <w:tcPr>
            <w:tcW w:type="dxa" w:w="3120"/>
          </w:tcPr>
          <w:p>
            <w:r>
              <w:rPr>
                <w:rFonts w:ascii="Times New Roman" w:hAnsi="Times New Roman"/>
                <w:b/>
                <w:sz w:val="20"/>
              </w:rPr>
              <w:t>4-point, 6-point, 8-point Likert scales</w:t>
            </w:r>
          </w:p>
        </w:tc>
        <w:tc>
          <w:tcPr>
            <w:tcW w:type="dxa" w:w="3120"/>
          </w:tcPr>
          <w:p>
            <w:r>
              <w:rPr>
                <w:rFonts w:ascii="Times New Roman" w:hAnsi="Times New Roman"/>
                <w:b/>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_i (y_i-y_i)^2_i (y_i-y)^2, MAE = 1n_i |y_i-y_i|.</w:t>
      </w:r>
    </w:p>
    <w:p>
      <w:r>
        <w:t>Baselines and downstream prediction</w:t>
      </w:r>
    </w:p>
    <w:p>
      <w:r>
        <w:t>The first baseline used raw text embeddings. Actual and ideal comments were embedded, and cosine similarity was used as a predictor:</w:t>
      </w:r>
    </w:p>
    <w:p>
      <w:pPr>
        <w:jc w:val="center"/>
      </w:pPr>
      <w:r>
        <w:t>(a,i) = ai\|a\|\|i\|.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presentation configuration used Gemini 2.5 Flash Lite, no thinking, a six-point scale, and temperature 0.7. It reached R² = 0.573 and MAE = 1.22 on the main split. Bootstrap validation produced mean R² = 0.504 with a 95% interval of [0.429, 0.582].</w:t>
      </w:r>
    </w:p>
    <w:p>
      <w:pPr>
        <w:pStyle w:val="Caption"/>
      </w:pPr>
      <w:r>
        <w:t>Primary predictive and operational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Gemini 2.5 Flash Lite</w:t>
            </w:r>
          </w:p>
        </w:tc>
        <w:tc>
          <w:tcPr>
            <w:tcW w:type="dxa" w:w="1337"/>
          </w:tcPr>
          <w:p>
            <w:r>
              <w:rPr>
                <w:rFonts w:ascii="Times New Roman" w:hAnsi="Times New Roman"/>
                <w:b/>
                <w:sz w:val="20"/>
              </w:rPr>
              <w:t>6 pt, 0.7</w:t>
            </w:r>
          </w:p>
        </w:tc>
        <w:tc>
          <w:tcPr>
            <w:tcW w:type="dxa" w:w="1337"/>
          </w:tcPr>
          <w:p>
            <w:r>
              <w:rPr>
                <w:rFonts w:ascii="Times New Roman" w:hAnsi="Times New Roman"/>
                <w:b/>
                <w:sz w:val="20"/>
              </w:rPr>
              <w:t>0.573</w:t>
            </w:r>
          </w:p>
        </w:tc>
        <w:tc>
          <w:tcPr>
            <w:tcW w:type="dxa" w:w="1337"/>
          </w:tcPr>
          <w:p>
            <w:r>
              <w:rPr>
                <w:rFonts w:ascii="Times New Roman" w:hAnsi="Times New Roman"/>
                <w:b/>
                <w:sz w:val="20"/>
              </w:rPr>
              <w:t>0.504 [0.429, 0.582]</w:t>
            </w:r>
          </w:p>
        </w:tc>
        <w:tc>
          <w:tcPr>
            <w:tcW w:type="dxa" w:w="1337"/>
          </w:tcPr>
          <w:p>
            <w:r>
              <w:rPr>
                <w:rFonts w:ascii="Times New Roman" w:hAnsi="Times New Roman"/>
                <w:b/>
                <w:sz w:val="20"/>
              </w:rPr>
              <w:t>1.22</w:t>
            </w:r>
          </w:p>
        </w:tc>
        <w:tc>
          <w:tcPr>
            <w:tcW w:type="dxa" w:w="1337"/>
          </w:tcPr>
          <w:p>
            <w:r>
              <w:rPr>
                <w:rFonts w:ascii="Times New Roman" w:hAnsi="Times New Roman"/>
                <w:b/>
                <w:sz w:val="20"/>
              </w:rPr>
              <w:t>102</w:t>
            </w:r>
          </w:p>
        </w:tc>
        <w:tc>
          <w:tcPr>
            <w:tcW w:type="dxa" w:w="1337"/>
          </w:tcPr>
          <w:p>
            <w:r>
              <w:rPr>
                <w:rFonts w:ascii="Times New Roman" w:hAnsi="Times New Roman"/>
                <w:b/>
                <w:sz w:val="20"/>
              </w:rPr>
              <w:t>0.02%</w:t>
            </w:r>
          </w:p>
        </w:tc>
      </w:tr>
      <w:tr>
        <w:tc>
          <w:tcPr>
            <w:tcW w:type="dxa" w:w="1337"/>
          </w:tcPr>
          <w:p>
            <w:r>
              <w:rPr>
                <w:rFonts w:ascii="Times New Roman" w:hAnsi="Times New Roman"/>
                <w:sz w:val="20"/>
              </w:rPr>
              <w:t>Gemini 3 Flash low</w:t>
            </w:r>
          </w:p>
        </w:tc>
        <w:tc>
          <w:tcPr>
            <w:tcW w:type="dxa" w:w="1337"/>
          </w:tcPr>
          <w:p>
            <w:r>
              <w:rPr>
                <w:rFonts w:ascii="Times New Roman" w:hAnsi="Times New Roman"/>
                <w:sz w:val="20"/>
              </w:rPr>
              <w:t>8 pt, 0.7</w:t>
            </w:r>
          </w:p>
        </w:tc>
        <w:tc>
          <w:tcPr>
            <w:tcW w:type="dxa" w:w="1337"/>
          </w:tcPr>
          <w:p>
            <w:r>
              <w:rPr>
                <w:rFonts w:ascii="Times New Roman" w:hAnsi="Times New Roman"/>
                <w:sz w:val="20"/>
              </w:rPr>
              <w:t>0.518</w:t>
            </w:r>
          </w:p>
        </w:tc>
        <w:tc>
          <w:tcPr>
            <w:tcW w:type="dxa" w:w="1337"/>
          </w:tcPr>
          <w:p>
            <w:r>
              <w:rPr>
                <w:rFonts w:ascii="Times New Roman" w:hAnsi="Times New Roman"/>
                <w:sz w:val="20"/>
              </w:rPr>
              <w:t>0.462 [0.388, 0.531]</w:t>
            </w:r>
          </w:p>
        </w:tc>
        <w:tc>
          <w:tcPr>
            <w:tcW w:type="dxa" w:w="1337"/>
          </w:tcPr>
          <w:p>
            <w:r>
              <w:rPr>
                <w:rFonts w:ascii="Times New Roman" w:hAnsi="Times New Roman"/>
                <w:sz w:val="20"/>
              </w:rPr>
              <w:t>1.26</w:t>
            </w:r>
          </w:p>
        </w:tc>
        <w:tc>
          <w:tcPr>
            <w:tcW w:type="dxa" w:w="1337"/>
          </w:tcPr>
          <w:p>
            <w:r>
              <w:rPr>
                <w:rFonts w:ascii="Times New Roman" w:hAnsi="Times New Roman"/>
                <w:sz w:val="20"/>
              </w:rPr>
              <w:t>614</w:t>
            </w:r>
          </w:p>
        </w:tc>
        <w:tc>
          <w:tcPr>
            <w:tcW w:type="dxa" w:w="1337"/>
          </w:tcPr>
          <w:p>
            <w:r>
              <w:rPr>
                <w:rFonts w:ascii="Times New Roman" w:hAnsi="Times New Roman"/>
                <w:sz w:val="20"/>
              </w:rPr>
              <w:t>0.15%</w:t>
            </w:r>
          </w:p>
        </w:tc>
      </w:tr>
      <w:tr>
        <w:tc>
          <w:tcPr>
            <w:tcW w:type="dxa" w:w="1337"/>
          </w:tcPr>
          <w:p>
            <w:r>
              <w:rPr>
                <w:rFonts w:ascii="Times New Roman" w:hAnsi="Times New Roman"/>
                <w:sz w:val="20"/>
              </w:rPr>
              <w:t>Gemini 3 Flash minimal</w:t>
            </w:r>
          </w:p>
        </w:tc>
        <w:tc>
          <w:tcPr>
            <w:tcW w:type="dxa" w:w="1337"/>
          </w:tcPr>
          <w:p>
            <w:r>
              <w:rPr>
                <w:rFonts w:ascii="Times New Roman" w:hAnsi="Times New Roman"/>
                <w:sz w:val="20"/>
              </w:rPr>
              <w:t>4 pt, 0.7</w:t>
            </w:r>
          </w:p>
        </w:tc>
        <w:tc>
          <w:tcPr>
            <w:tcW w:type="dxa" w:w="1337"/>
          </w:tcPr>
          <w:p>
            <w:r>
              <w:rPr>
                <w:rFonts w:ascii="Times New Roman" w:hAnsi="Times New Roman"/>
                <w:sz w:val="20"/>
              </w:rPr>
              <w:t>0.411</w:t>
            </w:r>
          </w:p>
        </w:tc>
        <w:tc>
          <w:tcPr>
            <w:tcW w:type="dxa" w:w="1337"/>
          </w:tcPr>
          <w:p>
            <w:r>
              <w:rPr>
                <w:rFonts w:ascii="Times New Roman" w:hAnsi="Times New Roman"/>
                <w:sz w:val="20"/>
              </w:rPr>
              <w:t>-</w:t>
            </w:r>
          </w:p>
        </w:tc>
        <w:tc>
          <w:tcPr>
            <w:tcW w:type="dxa" w:w="1337"/>
          </w:tcPr>
          <w:p>
            <w:r>
              <w:rPr>
                <w:rFonts w:ascii="Times New Roman" w:hAnsi="Times New Roman"/>
                <w:sz w:val="20"/>
              </w:rPr>
              <w:t>1.38</w:t>
            </w:r>
          </w:p>
        </w:tc>
        <w:tc>
          <w:tcPr>
            <w:tcW w:type="dxa" w:w="1337"/>
          </w:tcPr>
          <w:p>
            <w:r>
              <w:rPr>
                <w:rFonts w:ascii="Times New Roman" w:hAnsi="Times New Roman"/>
                <w:sz w:val="20"/>
              </w:rPr>
              <w:t>131</w:t>
            </w:r>
          </w:p>
        </w:tc>
        <w:tc>
          <w:tcPr>
            <w:tcW w:type="dxa" w:w="1337"/>
          </w:tcPr>
          <w:p>
            <w:r>
              <w:rPr>
                <w:rFonts w:ascii="Times New Roman" w:hAnsi="Times New Roman"/>
                <w:sz w:val="20"/>
              </w:rPr>
              <w:t>3.40%</w:t>
            </w:r>
          </w:p>
        </w:tc>
      </w:tr>
    </w:tbl>
    <w:p>
      <w:r>
        <w:t>The full grid supports the same conclusion. All nine Flash Lite configurations beat all 18 Gemini 3 Flash configurations on MAE in the presentation analysis. Model family accounted for the largest share of performance variation across the grid, ahead of scale granularity and temperature. Bootstrap comparisons favored Flash Lite, with estimated probabilities of 99.3% versus Gemini 3 minimal thinking and 91.2% versus Gemini 3 low thinking.</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and structured-output failures were more frequent for Gemini 3 Flash minimal thinking. These failures matter because the pipeline depends on thousands of parseable JSON responses.</w:t>
      </w:r>
    </w:p>
    <w:p>
      <w:r>
        <w:drawing>
          <wp:inline xmlns:a="http://schemas.openxmlformats.org/drawingml/2006/main" xmlns:pic="http://schemas.openxmlformats.org/drawingml/2006/picture">
            <wp:extent cx="5394960" cy="2631966"/>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31966"/>
                    </a:xfrm>
                    <a:prstGeom prst="rect"/>
                  </pic:spPr>
                </pic:pic>
              </a:graphicData>
            </a:graphic>
          </wp:inline>
        </w:drawing>
      </w:r>
    </w:p>
    <w:p>
      <w:pPr>
        <w:pStyle w:val="Caption"/>
      </w:pPr>
      <w:r>
        <w:t>Operational comparison for highlighted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32611"/>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32611"/>
                    </a:xfrm>
                    <a:prstGeom prst="rect"/>
                  </pic:spPr>
                </pic:pic>
              </a:graphicData>
            </a:graphic>
          </wp:inline>
        </w:drawing>
      </w:r>
    </w:p>
    <w:p>
      <w:pPr>
        <w:pStyle w:val="Caption"/>
      </w:pPr>
      <w:r>
        <w:t>Modality-level sanity check. The two bars are not in the same units: Mahieu et al. values summarize modality signal from the original descriptor-based analysis, while our values are downstream model feature importances from LLM alignment scores. The comparison is about order and structure.</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Parse errors</w:t>
            </w:r>
          </w:p>
        </w:tc>
        <w:tc>
          <w:tcPr>
            <w:tcW w:type="dxa" w:w="4680"/>
          </w:tcPr>
          <w:p>
            <w:r>
              <w:rPr>
                <w:rFonts w:ascii="Times New Roman" w:hAnsi="Times New Roman"/>
                <w:b/>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TabPFN, XGBoost, Gradient Boosting, and Ridge were nearly tied in mean R² across configurations, with Random Forest behind. TabPFN had the best mean R² in the slide analysis at 0.476 and won 74% of configurations. XGBoost was close at 0.474. The reason for using TabPFN is operational. The accuracy margin was modest, but TabPFN required no separate hyperparameter search and runs as a single tabular forward pass.</w:t>
      </w:r>
    </w:p>
    <w:p>
      <w:pPr>
        <w:pStyle w:val="Caption"/>
      </w:pPr>
      <w:r>
        <w:t>Downstream model comparison across LLM configuration combinations.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XGBoost</w:t>
            </w:r>
          </w:p>
        </w:tc>
        <w:tc>
          <w:tcPr>
            <w:tcW w:type="dxa" w:w="3120"/>
          </w:tcPr>
          <w:p>
            <w:r>
              <w:rPr>
                <w:rFonts w:ascii="Times New Roman" w:hAnsi="Times New Roman"/>
                <w:b/>
                <w:sz w:val="20"/>
              </w:rPr>
              <w:t>0.474</w:t>
            </w:r>
          </w:p>
        </w:tc>
        <w:tc>
          <w:tcPr>
            <w:tcW w:type="dxa" w:w="3120"/>
          </w:tcPr>
          <w:p>
            <w:r>
              <w:rPr>
                <w:rFonts w:ascii="Times New Roman" w:hAnsi="Times New Roman"/>
                <w:b/>
                <w:sz w:val="20"/>
              </w:rPr>
              <w:t>-</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0.473</w:t>
            </w:r>
          </w:p>
        </w:tc>
        <w:tc>
          <w:tcPr>
            <w:tcW w:type="dxa" w:w="3120"/>
          </w:tcPr>
          <w:p>
            <w:r>
              <w:rPr>
                <w:rFonts w:ascii="Times New Roman" w:hAnsi="Times New Roman"/>
                <w:sz w:val="20"/>
              </w:rPr>
              <w:t>-</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0.469</w:t>
            </w:r>
          </w:p>
        </w:tc>
        <w:tc>
          <w:tcPr>
            <w:tcW w:type="dxa" w:w="3120"/>
          </w:tcPr>
          <w:p>
            <w:r>
              <w:rPr>
                <w:rFonts w:ascii="Times New Roman" w:hAnsi="Times New Roman"/>
                <w:sz w:val="20"/>
              </w:rPr>
              <w:t>-</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0.444</w:t>
            </w:r>
          </w:p>
        </w:tc>
        <w:tc>
          <w:tcPr>
            <w:tcW w:type="dxa" w:w="3120"/>
          </w:tcPr>
          <w:p>
            <w:r>
              <w:rPr>
                <w:rFonts w:ascii="Times New Roman" w:hAnsi="Times New Roman"/>
                <w:sz w:val="20"/>
              </w:rPr>
              <w:t>-</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paper should not claim that all reasoning models behave the same way. It should claim that the tested reasoning configurations did not help this sensory scoring task, and that the result supports a broader task-fit hypothesis worth testing.</w:t>
      </w:r>
    </w:p>
    <w:p>
      <w:r>
        <w:t>Exact model aliases require audit. Any use of provider aliases must be resolved to stable model IDs and run dates before submission.</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currently uses Gradient Boosting as a placeholder. Topic-level TabPFN results should replace it if a stable TabPFN run becomes available.</w:t>
      </w:r>
    </w:p>
    <w:p>
      <w:r>
        <w:t>The topic-level comparison to Mahieu et al. (2022) uses mapped descriptor families and approximate driver strengths from processed paper notes. These mappings and values need to be checked against the primary paper or original code before final submission.</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https://github.com/aigorahub/model-cognition-fit-llm-ifc-ham.</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