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Embedding cosine-similarity baselines performed poorly, even when the embeddings were framed around the same three sensory modalities.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showed more row-level scoring errors in controlled six-point comparisons.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This follows a longer line of ideal-product methods. The Ideal Profile Method asks consumers to rate both perceived and ideal intensities for each tested product on a structured attribute list (Worch et al., 2013). Related work used IPM to test whether the assumption of one internal ideal is tenable when products may cue different ideals (Worch and Ennis, 2013). IFC keeps the actual-versus-ideal logic but replaces the fixed attribute list with consumers' own words.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Value</w:t>
            </w:r>
          </w:p>
        </w:tc>
      </w:tr>
      <w:tr>
        <w:tc>
          <w:tcPr>
            <w:tcW w:type="dxa" w:w="4680"/>
          </w:tcPr>
          <w:p>
            <w:r>
              <w:rPr>
                <w:rFonts w:ascii="Times New Roman" w:hAnsi="Times New Roman"/>
                <w:sz w:val="20"/>
              </w:rPr>
              <w:t>Consumers</w:t>
            </w:r>
          </w:p>
        </w:tc>
        <w:tc>
          <w:tcPr>
            <w:tcW w:type="dxa" w:w="4680"/>
          </w:tcPr>
          <w:p>
            <w:r>
              <w:rPr>
                <w:rFonts w:ascii="Times New Roman" w:hAnsi="Times New Roman"/>
                <w:sz w:val="20"/>
              </w:rPr>
              <w:t>483 French consumers</w:t>
            </w:r>
          </w:p>
        </w:tc>
      </w:tr>
      <w:tr>
        <w:tc>
          <w:tcPr>
            <w:tcW w:type="dxa" w:w="4680"/>
          </w:tcPr>
          <w:p>
            <w:r>
              <w:rPr>
                <w:rFonts w:ascii="Times New Roman" w:hAnsi="Times New Roman"/>
                <w:sz w:val="20"/>
              </w:rPr>
              <w:t>Products</w:t>
            </w:r>
          </w:p>
        </w:tc>
        <w:tc>
          <w:tcPr>
            <w:tcW w:type="dxa" w:w="4680"/>
          </w:tcPr>
          <w:p>
            <w:r>
              <w:rPr>
                <w:rFonts w:ascii="Times New Roman" w:hAnsi="Times New Roman"/>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pPr>
        <w:pStyle w:val="Heading3"/>
      </w:pPr>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parse failures. In the grid artifacts, the broader error count records row-level scoring errors observed during generation, including API or parsing failures before retry or recovery.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pPr>
        <w:pStyle w:val="Heading3"/>
      </w:pPr>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main grid used 27 configurations: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Factor</w:t>
            </w:r>
          </w:p>
        </w:tc>
        <w:tc>
          <w:tcPr>
            <w:tcW w:type="dxa" w:w="3120"/>
          </w:tcPr>
          <w:p>
            <w:r>
              <w:rPr>
                <w:rFonts w:ascii="Times New Roman" w:hAnsi="Times New Roman"/>
                <w:b/>
                <w:sz w:val="20"/>
              </w:rPr>
              <w:t>Levels varied</w:t>
            </w:r>
          </w:p>
        </w:tc>
        <w:tc>
          <w:tcPr>
            <w:tcW w:type="dxa" w:w="3120"/>
          </w:tcPr>
          <w:p>
            <w:r>
              <w:rPr>
                <w:rFonts w:ascii="Times New Roman" w:hAnsi="Times New Roman"/>
                <w:b/>
                <w:sz w:val="20"/>
              </w:rPr>
              <w:t>Held fixed</w:t>
            </w:r>
          </w:p>
        </w:tc>
      </w:tr>
      <w:tr>
        <w:tc>
          <w:tcPr>
            <w:tcW w:type="dxa" w:w="3120"/>
          </w:tcPr>
          <w:p>
            <w:r>
              <w:rPr>
                <w:rFonts w:ascii="Times New Roman" w:hAnsi="Times New Roman"/>
                <w:sz w:val="20"/>
              </w:rPr>
              <w:t>Model</w:t>
            </w:r>
          </w:p>
        </w:tc>
        <w:tc>
          <w:tcPr>
            <w:tcW w:type="dxa" w:w="3120"/>
          </w:tcPr>
          <w:p>
            <w:r>
              <w:rPr>
                <w:rFonts w:ascii="Times New Roman" w:hAnsi="Times New Roman"/>
                <w:sz w:val="20"/>
              </w:rPr>
              <w:t>Gemini 2.5 Flash Lite; Gemini 3 Flash minimal; Gemini 3 Flash low</w:t>
            </w:r>
          </w:p>
        </w:tc>
        <w:tc>
          <w:tcPr>
            <w:tcW w:type="dxa" w:w="3120"/>
          </w:tcPr>
          <w:p>
            <w:r>
              <w:rPr>
                <w:rFonts w:ascii="Times New Roman" w:hAnsi="Times New Roman"/>
                <w:sz w:val="20"/>
              </w:rPr>
              <w:t>Prompt task and JSON schema</w:t>
            </w:r>
          </w:p>
        </w:tc>
      </w:tr>
      <w:tr>
        <w:tc>
          <w:tcPr>
            <w:tcW w:type="dxa" w:w="3120"/>
          </w:tcPr>
          <w:p>
            <w:r>
              <w:rPr>
                <w:rFonts w:ascii="Times New Roman" w:hAnsi="Times New Roman"/>
                <w:sz w:val="20"/>
              </w:rPr>
              <w:t>Scale size</w:t>
            </w:r>
          </w:p>
        </w:tc>
        <w:tc>
          <w:tcPr>
            <w:tcW w:type="dxa" w:w="3120"/>
          </w:tcPr>
          <w:p>
            <w:r>
              <w:rPr>
                <w:rFonts w:ascii="Times New Roman" w:hAnsi="Times New Roman"/>
                <w:sz w:val="20"/>
              </w:rPr>
              <w:t>4-point, 6-point, 8-point Likert scales</w:t>
            </w:r>
          </w:p>
        </w:tc>
        <w:tc>
          <w:tcPr>
            <w:tcW w:type="dxa" w:w="3120"/>
          </w:tcPr>
          <w:p>
            <w:r>
              <w:rPr>
                <w:rFonts w:ascii="Times New Roman" w:hAnsi="Times New Roman"/>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sum_i (y_i - y-hat_i)^2 / sum_i (y_i - y-bar)^2; MAE = (1/n) sum_i |y_i - y-hat_i|.</w:t>
      </w:r>
    </w:p>
    <w:p>
      <w:pPr>
        <w:pStyle w:val="Heading3"/>
      </w:pPr>
      <w:r>
        <w:t>Baselines and downstream prediction</w:t>
      </w:r>
    </w:p>
    <w:p>
      <w:r>
        <w:t>The first baseline used raw text embeddings. Actual and ideal comments were embedded, and cosine similarity was used as a predictor:</w:t>
      </w:r>
    </w:p>
    <w:p>
      <w:pPr>
        <w:jc w:val="center"/>
      </w:pPr>
      <w:r>
        <w:t>cos(a, i) = (a · i) / (||a|| ||i||).</w:t>
      </w:r>
    </w:p>
    <w:p>
      <w:r>
        <w:t>This baseline tested whether generic semantic closeness could solve the task without constrained sensory scoring.</w:t>
      </w:r>
    </w:p>
    <w:p>
      <w:r>
        <w:t>We also ran a stricter embedding-only check in the same shape as the direct scoring pipeline. Using EmbeddingGemma, we computed three actual-versus-ideal cosine similarities per row: visual, texture, and flavor. We tested raw semantic textual similarity embeddings, modality-tagged embeddings, question-and-answer-framed embeddings, and retrieval-document embeddings. The question-and-answer version put the modality question into the text before embedding, so the embedding model had task context rather than bare comments alone. Downstream prediction for this diagnostic used standard scikit-learn regressors over 50 consumer-group splits and AutoGluon on the fixed consumer holdout (Erickson et al., 2020).</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pPr>
        <w:pStyle w:val="Heading3"/>
      </w:pPr>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r>
        <w:t>The stricter three-score embedding check led to the same conclusion. The best variant used question-and-answer-framed EmbeddingGemma similarities and ExtraTrees regression, reaching mean R² = 0.135 across 50 consumer-group splits. On the fixed holdout, question-and-answer-framed similarities with AutoGluon reached R² = 0.063, MAE = 1.83, and Pearson r = 0.31. Raw, modality-tagged, and retrieval-document variants were weaker. This was not a minimal embedding baseline. Even task-framed embeddings did not recover the relational sensory signal that direct scoring captured.</w:t>
      </w:r>
    </w:p>
    <w:p>
      <w:pPr>
        <w:pStyle w:val="Heading2"/>
      </w:pPr>
      <w:r>
        <w:t>Non-thinking alignment scoring improved liking prediction</w:t>
      </w:r>
    </w:p>
    <w:p>
      <w:r>
        <w:t>The best grid configuration used Gemini 2.5 Flash Lite, no thinking, a six-point scale, and temperature 0.7. It reached R² = 0.573 and MAE = 1.22 on the main split. Bootstrap validation of this configuration produced mean R² = 0.504 with a 95% interval of [0.429, 0.582]. To avoid confounding model choice with scale size or temperature, Table~tab:primary compares the three model configurations at the same six-point scale and temperature 0.7.</w:t>
      </w:r>
    </w:p>
    <w:p>
      <w:pPr>
        <w:pStyle w:val="Caption"/>
      </w:pPr>
      <w:r>
        <w:t>Controlled predictive and operational comparison at six points and temperature 0.7.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Configuration</w:t>
            </w:r>
          </w:p>
        </w:tc>
        <w:tc>
          <w:tcPr>
            <w:tcW w:type="dxa" w:w="1560"/>
          </w:tcPr>
          <w:p>
            <w:r>
              <w:rPr>
                <w:rFonts w:ascii="Times New Roman" w:hAnsi="Times New Roman"/>
                <w:b/>
                <w:sz w:val="20"/>
              </w:rPr>
              <w:t>Scale, temp.</w:t>
            </w:r>
          </w:p>
        </w:tc>
        <w:tc>
          <w:tcPr>
            <w:tcW w:type="dxa" w:w="1560"/>
          </w:tcPr>
          <w:p>
            <w:r>
              <w:rPr>
                <w:rFonts w:ascii="Times New Roman" w:hAnsi="Times New Roman"/>
                <w:b/>
                <w:sz w:val="20"/>
              </w:rPr>
              <w:t>R²</w:t>
            </w:r>
          </w:p>
        </w:tc>
        <w:tc>
          <w:tcPr>
            <w:tcW w:type="dxa" w:w="1560"/>
          </w:tcPr>
          <w:p>
            <w:r>
              <w:rPr>
                <w:rFonts w:ascii="Times New Roman" w:hAnsi="Times New Roman"/>
                <w:b/>
                <w:sz w:val="20"/>
              </w:rPr>
              <w:t>MAE</w:t>
            </w:r>
          </w:p>
        </w:tc>
        <w:tc>
          <w:tcPr>
            <w:tcW w:type="dxa" w:w="1560"/>
          </w:tcPr>
          <w:p>
            <w:r>
              <w:rPr>
                <w:rFonts w:ascii="Times New Roman" w:hAnsi="Times New Roman"/>
                <w:b/>
                <w:sz w:val="20"/>
              </w:rPr>
              <w:t>Time (s)</w:t>
            </w:r>
          </w:p>
        </w:tc>
        <w:tc>
          <w:tcPr>
            <w:tcW w:type="dxa" w:w="1560"/>
          </w:tcPr>
          <w:p>
            <w:r>
              <w:rPr>
                <w:rFonts w:ascii="Times New Roman" w:hAnsi="Times New Roman"/>
                <w:b/>
                <w:sz w:val="20"/>
              </w:rPr>
              <w:t>Scoring errors</w:t>
            </w:r>
          </w:p>
        </w:tc>
      </w:tr>
      <w:tr>
        <w:tc>
          <w:tcPr>
            <w:tcW w:type="dxa" w:w="1560"/>
          </w:tcPr>
          <w:p>
            <w:r>
              <w:rPr>
                <w:rFonts w:ascii="Times New Roman" w:hAnsi="Times New Roman"/>
                <w:sz w:val="20"/>
              </w:rPr>
              <w:t>Embedding baseline</w:t>
            </w:r>
          </w:p>
        </w:tc>
        <w:tc>
          <w:tcPr>
            <w:tcW w:type="dxa" w:w="1560"/>
          </w:tcPr>
          <w:p>
            <w:r>
              <w:rPr>
                <w:rFonts w:ascii="Times New Roman" w:hAnsi="Times New Roman"/>
                <w:sz w:val="20"/>
              </w:rPr>
              <w:t>-</w:t>
            </w:r>
          </w:p>
        </w:tc>
        <w:tc>
          <w:tcPr>
            <w:tcW w:type="dxa" w:w="1560"/>
          </w:tcPr>
          <w:p>
            <w:r>
              <w:rPr>
                <w:rFonts w:ascii="Times New Roman" w:hAnsi="Times New Roman"/>
                <w:sz w:val="20"/>
              </w:rPr>
              <w:t>0.200</w:t>
            </w:r>
          </w:p>
        </w:tc>
        <w:tc>
          <w:tcPr>
            <w:tcW w:type="dxa" w:w="1560"/>
          </w:tcPr>
          <w:p>
            <w:r>
              <w:rPr>
                <w:rFonts w:ascii="Times New Roman" w:hAnsi="Times New Roman"/>
                <w:sz w:val="20"/>
              </w:rPr>
              <w:t>1.83</w:t>
            </w:r>
          </w:p>
        </w:tc>
        <w:tc>
          <w:tcPr>
            <w:tcW w:type="dxa" w:w="1560"/>
          </w:tcPr>
          <w:p>
            <w:r>
              <w:rPr>
                <w:rFonts w:ascii="Times New Roman" w:hAnsi="Times New Roman"/>
                <w:sz w:val="20"/>
              </w:rPr>
              <w:t>&lt;5</w:t>
            </w:r>
          </w:p>
        </w:tc>
        <w:tc>
          <w:tcPr>
            <w:tcW w:type="dxa" w:w="1560"/>
          </w:tcPr>
          <w:p>
            <w:r>
              <w:rPr>
                <w:rFonts w:ascii="Times New Roman" w:hAnsi="Times New Roman"/>
                <w:sz w:val="20"/>
              </w:rPr>
              <w:t>0 (0.0%)</w:t>
            </w:r>
          </w:p>
        </w:tc>
      </w:tr>
      <w:tr>
        <w:tc>
          <w:tcPr>
            <w:tcW w:type="dxa" w:w="1560"/>
          </w:tcPr>
          <w:p>
            <w:r>
              <w:rPr>
                <w:rFonts w:ascii="Times New Roman" w:hAnsi="Times New Roman"/>
                <w:sz w:val="20"/>
              </w:rPr>
              <w:t>Gemini 2.5 Flash Lite</w:t>
            </w:r>
          </w:p>
        </w:tc>
        <w:tc>
          <w:tcPr>
            <w:tcW w:type="dxa" w:w="1560"/>
          </w:tcPr>
          <w:p>
            <w:r>
              <w:rPr>
                <w:rFonts w:ascii="Times New Roman" w:hAnsi="Times New Roman"/>
                <w:sz w:val="20"/>
              </w:rPr>
              <w:t>6 pt, 0.7</w:t>
            </w:r>
          </w:p>
        </w:tc>
        <w:tc>
          <w:tcPr>
            <w:tcW w:type="dxa" w:w="1560"/>
          </w:tcPr>
          <w:p>
            <w:r>
              <w:rPr>
                <w:rFonts w:ascii="Times New Roman" w:hAnsi="Times New Roman"/>
                <w:sz w:val="20"/>
              </w:rPr>
              <w:t>0.573</w:t>
            </w:r>
          </w:p>
        </w:tc>
        <w:tc>
          <w:tcPr>
            <w:tcW w:type="dxa" w:w="1560"/>
          </w:tcPr>
          <w:p>
            <w:r>
              <w:rPr>
                <w:rFonts w:ascii="Times New Roman" w:hAnsi="Times New Roman"/>
                <w:sz w:val="20"/>
              </w:rPr>
              <w:t>1.22</w:t>
            </w:r>
          </w:p>
        </w:tc>
        <w:tc>
          <w:tcPr>
            <w:tcW w:type="dxa" w:w="1560"/>
          </w:tcPr>
          <w:p>
            <w:r>
              <w:rPr>
                <w:rFonts w:ascii="Times New Roman" w:hAnsi="Times New Roman"/>
                <w:sz w:val="20"/>
              </w:rPr>
              <w:t>101</w:t>
            </w:r>
          </w:p>
        </w:tc>
        <w:tc>
          <w:tcPr>
            <w:tcW w:type="dxa" w:w="1560"/>
          </w:tcPr>
          <w:p>
            <w:r>
              <w:rPr>
                <w:rFonts w:ascii="Times New Roman" w:hAnsi="Times New Roman"/>
                <w:sz w:val="20"/>
              </w:rPr>
              <w:t>114 (4.1%)</w:t>
            </w:r>
          </w:p>
        </w:tc>
      </w:tr>
      <w:tr>
        <w:tc>
          <w:tcPr>
            <w:tcW w:type="dxa" w:w="1560"/>
          </w:tcPr>
          <w:p>
            <w:r>
              <w:rPr>
                <w:rFonts w:ascii="Times New Roman" w:hAnsi="Times New Roman"/>
                <w:sz w:val="20"/>
              </w:rPr>
              <w:t>Gemini 3 Flash low</w:t>
            </w:r>
          </w:p>
        </w:tc>
        <w:tc>
          <w:tcPr>
            <w:tcW w:type="dxa" w:w="1560"/>
          </w:tcPr>
          <w:p>
            <w:r>
              <w:rPr>
                <w:rFonts w:ascii="Times New Roman" w:hAnsi="Times New Roman"/>
                <w:sz w:val="20"/>
              </w:rPr>
              <w:t>6 pt, 0.7</w:t>
            </w:r>
          </w:p>
        </w:tc>
        <w:tc>
          <w:tcPr>
            <w:tcW w:type="dxa" w:w="1560"/>
          </w:tcPr>
          <w:p>
            <w:r>
              <w:rPr>
                <w:rFonts w:ascii="Times New Roman" w:hAnsi="Times New Roman"/>
                <w:sz w:val="20"/>
              </w:rPr>
              <w:t>0.479</w:t>
            </w:r>
          </w:p>
        </w:tc>
        <w:tc>
          <w:tcPr>
            <w:tcW w:type="dxa" w:w="1560"/>
          </w:tcPr>
          <w:p>
            <w:r>
              <w:rPr>
                <w:rFonts w:ascii="Times New Roman" w:hAnsi="Times New Roman"/>
                <w:sz w:val="20"/>
              </w:rPr>
              <w:t>1.33</w:t>
            </w:r>
          </w:p>
        </w:tc>
        <w:tc>
          <w:tcPr>
            <w:tcW w:type="dxa" w:w="1560"/>
          </w:tcPr>
          <w:p>
            <w:r>
              <w:rPr>
                <w:rFonts w:ascii="Times New Roman" w:hAnsi="Times New Roman"/>
                <w:sz w:val="20"/>
              </w:rPr>
              <w:t>619</w:t>
            </w:r>
          </w:p>
        </w:tc>
        <w:tc>
          <w:tcPr>
            <w:tcW w:type="dxa" w:w="1560"/>
          </w:tcPr>
          <w:p>
            <w:r>
              <w:rPr>
                <w:rFonts w:ascii="Times New Roman" w:hAnsi="Times New Roman"/>
                <w:sz w:val="20"/>
              </w:rPr>
              <w:t>137 (5.0%)</w:t>
            </w:r>
          </w:p>
        </w:tc>
      </w:tr>
      <w:tr>
        <w:tc>
          <w:tcPr>
            <w:tcW w:type="dxa" w:w="1560"/>
          </w:tcPr>
          <w:p>
            <w:r>
              <w:rPr>
                <w:rFonts w:ascii="Times New Roman" w:hAnsi="Times New Roman"/>
                <w:sz w:val="20"/>
              </w:rPr>
              <w:t>Gemini 3 Flash minimal</w:t>
            </w:r>
          </w:p>
        </w:tc>
        <w:tc>
          <w:tcPr>
            <w:tcW w:type="dxa" w:w="1560"/>
          </w:tcPr>
          <w:p>
            <w:r>
              <w:rPr>
                <w:rFonts w:ascii="Times New Roman" w:hAnsi="Times New Roman"/>
                <w:sz w:val="20"/>
              </w:rPr>
              <w:t>6 pt, 0.7</w:t>
            </w:r>
          </w:p>
        </w:tc>
        <w:tc>
          <w:tcPr>
            <w:tcW w:type="dxa" w:w="1560"/>
          </w:tcPr>
          <w:p>
            <w:r>
              <w:rPr>
                <w:rFonts w:ascii="Times New Roman" w:hAnsi="Times New Roman"/>
                <w:sz w:val="20"/>
              </w:rPr>
              <w:t>0.451</w:t>
            </w:r>
          </w:p>
        </w:tc>
        <w:tc>
          <w:tcPr>
            <w:tcW w:type="dxa" w:w="1560"/>
          </w:tcPr>
          <w:p>
            <w:r>
              <w:rPr>
                <w:rFonts w:ascii="Times New Roman" w:hAnsi="Times New Roman"/>
                <w:sz w:val="20"/>
              </w:rPr>
              <w:t>1.36</w:t>
            </w:r>
          </w:p>
        </w:tc>
        <w:tc>
          <w:tcPr>
            <w:tcW w:type="dxa" w:w="1560"/>
          </w:tcPr>
          <w:p>
            <w:r>
              <w:rPr>
                <w:rFonts w:ascii="Times New Roman" w:hAnsi="Times New Roman"/>
                <w:sz w:val="20"/>
              </w:rPr>
              <w:t>133</w:t>
            </w:r>
          </w:p>
        </w:tc>
        <w:tc>
          <w:tcPr>
            <w:tcW w:type="dxa" w:w="1560"/>
          </w:tcPr>
          <w:p>
            <w:r>
              <w:rPr>
                <w:rFonts w:ascii="Times New Roman" w:hAnsi="Times New Roman"/>
                <w:sz w:val="20"/>
              </w:rPr>
              <w:t>209 (7.6%)</w:t>
            </w:r>
          </w:p>
        </w:tc>
      </w:tr>
    </w:tbl>
    <w:p>
      <w:r>
        <w:t>The full grid supports the same conclusion without relying on one scale setting. Gemini 2.5 Flash Lite had the highest model-family mean R² and the best overall configuration; its nine configurations occupied nine of the top ten positions by R². The best Gemini 3 Flash low-thinking configuration used an eight-point scale and temperature 0.7, with R² = 0.518 and MAE = 1.26, still below the best Flash Lite result. Bootstrap comparisons favored Flash Lite, with estimated family-level winning probabilities of 99.3% versus Gemini 3 Flash minimal thinking and 91.2% versus Gemini 3 Flash low thinking among the selected top configurations.</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At the same six-point scale and temperature 0.7, Gemini 3 Flash minimal thinking also produced more row-level scoring errors. These failures matter because the pipeline depends on thousands of parseable JSON responses.</w:t>
      </w:r>
    </w:p>
    <w:p>
      <w:r>
        <w:drawing>
          <wp:inline xmlns:a="http://schemas.openxmlformats.org/drawingml/2006/main" xmlns:pic="http://schemas.openxmlformats.org/drawingml/2006/picture">
            <wp:extent cx="5394960" cy="2606330"/>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06330"/>
                    </a:xfrm>
                    <a:prstGeom prst="rect"/>
                  </pic:spPr>
                </pic:pic>
              </a:graphicData>
            </a:graphic>
          </wp:inline>
        </w:drawing>
      </w:r>
    </w:p>
    <w:p>
      <w:pPr>
        <w:pStyle w:val="Caption"/>
      </w:pPr>
      <w:r>
        <w:t>Operational comparison for the controlled six-point, temperature 0.7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53064"/>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53064"/>
                    </a:xfrm>
                    <a:prstGeom prst="rect"/>
                  </pic:spPr>
                </pic:pic>
              </a:graphicData>
            </a:graphic>
          </wp:inline>
        </w:drawing>
      </w:r>
    </w:p>
    <w:p>
      <w:pPr>
        <w:pStyle w:val="Caption"/>
      </w:pPr>
      <w:r>
        <w:t>Modality-level sanity check. Values are normalized within method so the comparison is about order and relative share, not raw units. Mahieu et al. values summarize modality signal from the original descriptor-based analysis, while our values are downstream model feature importances from LLM alignment scores.</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Result</w:t>
            </w:r>
          </w:p>
        </w:tc>
      </w:tr>
      <w:tr>
        <w:tc>
          <w:tcPr>
            <w:tcW w:type="dxa" w:w="4680"/>
          </w:tcPr>
          <w:p>
            <w:r>
              <w:rPr>
                <w:rFonts w:ascii="Times New Roman" w:hAnsi="Times New Roman"/>
                <w:sz w:val="20"/>
              </w:rPr>
              <w:t>Valid topic-level rows</w:t>
            </w:r>
          </w:p>
        </w:tc>
        <w:tc>
          <w:tcPr>
            <w:tcW w:type="dxa" w:w="4680"/>
          </w:tcPr>
          <w:p>
            <w:r>
              <w:rPr>
                <w:rFonts w:ascii="Times New Roman" w:hAnsi="Times New Roman"/>
                <w:sz w:val="20"/>
              </w:rPr>
              <w:t>2,757</w:t>
            </w:r>
          </w:p>
        </w:tc>
      </w:tr>
      <w:tr>
        <w:tc>
          <w:tcPr>
            <w:tcW w:type="dxa" w:w="4680"/>
          </w:tcPr>
          <w:p>
            <w:r>
              <w:rPr>
                <w:rFonts w:ascii="Times New Roman" w:hAnsi="Times New Roman"/>
                <w:sz w:val="20"/>
              </w:rPr>
              <w:t>Unparsed topic rows</w:t>
            </w:r>
          </w:p>
        </w:tc>
        <w:tc>
          <w:tcPr>
            <w:tcW w:type="dxa" w:w="4680"/>
          </w:tcPr>
          <w:p>
            <w:r>
              <w:rPr>
                <w:rFonts w:ascii="Times New Roman" w:hAnsi="Times New Roman"/>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Across the 27 LLM scoring configurations, TabPFN had the best mean R² at 0.482 and won 20 of 27 configurations. Ridge Regression was the closest conventional baseline at 0.468. The reason for using TabPFN is operational. The accuracy margin was modest, but TabPFN required no separate hyperparameter search and runs as a single tabular forward pass.</w:t>
      </w:r>
    </w:p>
    <w:p>
      <w:pPr>
        <w:pStyle w:val="Caption"/>
      </w:pPr>
      <w:r>
        <w:t>Downstream model comparison across the 27 LLM scoring configurations.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Downstream learner</w:t>
            </w:r>
          </w:p>
        </w:tc>
        <w:tc>
          <w:tcPr>
            <w:tcW w:type="dxa" w:w="3120"/>
          </w:tcPr>
          <w:p>
            <w:r>
              <w:rPr>
                <w:rFonts w:ascii="Times New Roman" w:hAnsi="Times New Roman"/>
                <w:b/>
                <w:sz w:val="20"/>
              </w:rPr>
              <w:t>Mean R²</w:t>
            </w:r>
          </w:p>
        </w:tc>
        <w:tc>
          <w:tcPr>
            <w:tcW w:type="dxa" w:w="3120"/>
          </w:tcPr>
          <w:p>
            <w:r>
              <w:rPr>
                <w:rFonts w:ascii="Times New Roman" w:hAnsi="Times New Roman"/>
                <w:b/>
                <w:sz w:val="20"/>
              </w:rPr>
              <w:t>Configurations won</w:t>
            </w:r>
          </w:p>
        </w:tc>
      </w:tr>
      <w:tr>
        <w:tc>
          <w:tcPr>
            <w:tcW w:type="dxa" w:w="3120"/>
          </w:tcPr>
          <w:p>
            <w:r>
              <w:rPr>
                <w:rFonts w:ascii="Times New Roman" w:hAnsi="Times New Roman"/>
                <w:sz w:val="20"/>
              </w:rPr>
              <w:t>TabPFN v2</w:t>
            </w:r>
          </w:p>
        </w:tc>
        <w:tc>
          <w:tcPr>
            <w:tcW w:type="dxa" w:w="3120"/>
          </w:tcPr>
          <w:p>
            <w:r>
              <w:rPr>
                <w:rFonts w:ascii="Times New Roman" w:hAnsi="Times New Roman"/>
                <w:sz w:val="20"/>
              </w:rPr>
              <w:t>0.482</w:t>
            </w:r>
          </w:p>
        </w:tc>
        <w:tc>
          <w:tcPr>
            <w:tcW w:type="dxa" w:w="3120"/>
          </w:tcPr>
          <w:p>
            <w:r>
              <w:rPr>
                <w:rFonts w:ascii="Times New Roman" w:hAnsi="Times New Roman"/>
                <w:sz w:val="20"/>
              </w:rPr>
              <w:t>20 (74.1%)</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0.468</w:t>
            </w:r>
          </w:p>
        </w:tc>
        <w:tc>
          <w:tcPr>
            <w:tcW w:type="dxa" w:w="3120"/>
          </w:tcPr>
          <w:p>
            <w:r>
              <w:rPr>
                <w:rFonts w:ascii="Times New Roman" w:hAnsi="Times New Roman"/>
                <w:sz w:val="20"/>
              </w:rPr>
              <w:t>7 (25.9%)</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0.450</w:t>
            </w:r>
          </w:p>
        </w:tc>
        <w:tc>
          <w:tcPr>
            <w:tcW w:type="dxa" w:w="3120"/>
          </w:tcPr>
          <w:p>
            <w:r>
              <w:rPr>
                <w:rFonts w:ascii="Times New Roman" w:hAnsi="Times New Roman"/>
                <w:sz w:val="20"/>
              </w:rPr>
              <w:t>0</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0.446</w:t>
            </w:r>
          </w:p>
        </w:tc>
        <w:tc>
          <w:tcPr>
            <w:tcW w:type="dxa" w:w="3120"/>
          </w:tcPr>
          <w:p>
            <w:r>
              <w:rPr>
                <w:rFonts w:ascii="Times New Roman" w:hAnsi="Times New Roman"/>
                <w:sz w:val="20"/>
              </w:rPr>
              <w:t>0</w:t>
            </w:r>
          </w:p>
        </w:tc>
      </w:tr>
      <w:tr>
        <w:tc>
          <w:tcPr>
            <w:tcW w:type="dxa" w:w="3120"/>
          </w:tcPr>
          <w:p>
            <w:r>
              <w:rPr>
                <w:rFonts w:ascii="Times New Roman" w:hAnsi="Times New Roman"/>
                <w:sz w:val="20"/>
              </w:rPr>
              <w:t>XGBoost</w:t>
            </w:r>
          </w:p>
        </w:tc>
        <w:tc>
          <w:tcPr>
            <w:tcW w:type="dxa" w:w="3120"/>
          </w:tcPr>
          <w:p>
            <w:r>
              <w:rPr>
                <w:rFonts w:ascii="Times New Roman" w:hAnsi="Times New Roman"/>
                <w:sz w:val="20"/>
              </w:rPr>
              <w:t>0.438</w:t>
            </w:r>
          </w:p>
        </w:tc>
        <w:tc>
          <w:tcPr>
            <w:tcW w:type="dxa" w:w="3120"/>
          </w:tcPr>
          <w:p>
            <w:r>
              <w:rPr>
                <w:rFonts w:ascii="Times New Roman" w:hAnsi="Times New Roman"/>
                <w:sz w:val="20"/>
              </w:rPr>
              <w:t>0</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embedding similarity and recovered the same broad sensory hierarchy as the original descriptor-based analysis. The follow-up EmbeddingGemma checks strengthen that interpretation. A modern embedding model improved when we added modality labels and question-and-answer task framing, but the resulting similarity scores still behaved like semantic closeness measures rather than sensory alignment judgments.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result should not be read as a universal claim about every reasoning model from every provider. It shows that the tested Gemini reasoning configurations did not help this sensory scoring task, and it supports a broader task-fit hypothesis worth testing across model families.</w:t>
      </w:r>
    </w:p>
    <w:p>
      <w:r>
        <w:t>The provider model names are reported as the API aliases used at scoring time. Because model providers update aliases, the durable object is the benchmark loop and saved scoring artifacts, not a permanent ranking of named commercial models.</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embedding baselines are also not the last word on embedding methods. A fine-tuned bi-encoder or a contrastive model trained on sensory alignment labels might perform better. The present result is narrower: off-the-shelf embeddings, even when prompted and reduced to the same three modality scores, did not explain liking nearly as well as direct LLM scoring.</w:t>
      </w:r>
    </w:p>
    <w:p>
      <w:r>
        <w:t>The topic-level predictive result uses Gradient Boosting rather than TabPFN. It is included as a diagnostic extension of the modality and topic-rank validation, not as a replacement for the primary three-feature TabPFN result.</w:t>
      </w:r>
    </w:p>
    <w:p>
      <w:r>
        <w:t>The topic-level comparison to Mahieu et al. (2022) uses mapped descriptor families and driver strengths coded from the published figure and processed notes. It should be interpreted as a structural validation of modality and topic order, not as an exact re-estimation of every descriptor coefficient.</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Erickson, N., Mueller, J., Shirkov, A., Zhang, H., Larroy, P., Li, M., &amp; Smola, A. (2020). AutoGluon-Tabular: Robust and accurate AutoML for structured data. Preprint, arXiv:2003.06505. https://doi.org/10.48550/arXiv.2003.06505.</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Worch, T., &amp; Ennis, J. M. (2013). Investigating the single ideal assumption using Ideal Profile Method. Food Quality and Preference, 29(1), 40-47. https://doi.org/10.1016/j.foodqual.2013.01.005.</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