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/>
        <w:jc w:val="right"/>
      </w:pPr>
      <w:r>
        <w:rPr>
          <w:b/>
          <w:i w:val="0"/>
        </w:rPr>
        <w:t>УТВЕРЖДАЮ</w:t>
      </w:r>
    </w:p>
    <w:p>
      <w:pPr>
        <w:spacing w:after="0" w:before="0"/>
        <w:jc w:val="right"/>
      </w:pPr>
      <w:r>
        <w:rPr>
          <w:b w:val="0"/>
          <w:i w:val="0"/>
        </w:rPr>
        <w:t>Генеральный директор</w:t>
      </w:r>
    </w:p>
    <w:p>
      <w:pPr>
        <w:spacing w:after="0" w:before="0"/>
        <w:jc w:val="right"/>
      </w:pPr>
      <w:r>
        <w:rPr>
          <w:b w:val="0"/>
          <w:i w:val="0"/>
        </w:rPr>
        <w:t>ООО «Авиационные Интерьеры-СН»</w:t>
      </w:r>
    </w:p>
    <w:p>
      <w:pPr>
        <w:spacing w:after="0" w:before="0"/>
        <w:jc w:val="right"/>
      </w:pPr>
      <w:r>
        <w:rPr>
          <w:b w:val="0"/>
          <w:i w:val="0"/>
        </w:rPr>
        <w:t>_______________ / _______________ /</w:t>
      </w:r>
    </w:p>
    <w:p>
      <w:pPr>
        <w:spacing w:after="360" w:before="0"/>
        <w:jc w:val="right"/>
      </w:pPr>
      <w:r>
        <w:rPr>
          <w:b w:val="0"/>
          <w:i w:val="0"/>
        </w:rPr>
        <w:t>«____» _______________ 2026 г.</w:t>
      </w:r>
    </w:p>
    <w:p>
      <w:pPr>
        <w:spacing w:after="0" w:before="0"/>
        <w:jc w:val="center"/>
      </w:pPr>
      <w:r>
        <w:rPr>
          <w:b/>
          <w:i w:val="0"/>
          <w:sz w:val="32"/>
        </w:rPr>
        <w:t>БИЗНЕС-ПРОЦЕСС</w:t>
      </w:r>
    </w:p>
    <w:p>
      <w:pPr>
        <w:spacing w:after="0" w:before="0"/>
        <w:jc w:val="center"/>
      </w:pPr>
      <w:r>
        <w:rPr>
          <w:b/>
          <w:i w:val="0"/>
        </w:rPr>
        <w:t>«Экологическое сопровождение деятельности предприятия»</w:t>
      </w:r>
    </w:p>
    <w:p>
      <w:pPr>
        <w:spacing w:after="240" w:before="0"/>
        <w:jc w:val="center"/>
      </w:pPr>
      <w:r>
        <w:rPr>
          <w:b w:val="0"/>
          <w:i w:val="0"/>
        </w:rPr>
        <w:t>(обеспечение соблюдения требований природоохранного законодательства РФ)</w:t>
      </w:r>
    </w:p>
    <w:p>
      <w:pPr>
        <w:keepNext/>
        <w:spacing w:after="80" w:before="200"/>
        <w:jc w:val="left"/>
      </w:pPr>
      <w:r>
        <w:rPr>
          <w:b/>
          <w:i w:val="0"/>
        </w:rPr>
        <w:t>1. Цель и область применения</w:t>
      </w:r>
    </w:p>
    <w:p>
      <w:pPr>
        <w:spacing w:after="0" w:before="0"/>
        <w:ind w:firstLine="709"/>
        <w:jc w:val="both"/>
      </w:pPr>
      <w:r>
        <w:rPr>
          <w:b/>
          <w:i w:val="0"/>
        </w:rPr>
        <w:t>Цель:</w:t>
      </w:r>
      <w:r>
        <w:rPr>
          <w:b w:val="0"/>
          <w:i w:val="0"/>
        </w:rPr>
        <w:t xml:space="preserve"> обеспечить выполнение обязательных требований законодательства РФ в области охраны окружающей среды, исключить административную и уголовную ответственность Общества и должностных лиц, исключить приостановление деятельности.</w:t>
      </w:r>
    </w:p>
    <w:p>
      <w:pPr>
        <w:spacing w:after="0" w:before="0"/>
        <w:ind w:firstLine="709"/>
        <w:jc w:val="both"/>
      </w:pPr>
      <w:r>
        <w:rPr>
          <w:b/>
          <w:i w:val="0"/>
        </w:rPr>
        <w:t>Область применения:</w:t>
      </w:r>
      <w:r>
        <w:rPr>
          <w:b w:val="0"/>
          <w:i w:val="0"/>
        </w:rPr>
        <w:t xml:space="preserve"> все производственные площадки и обособленные подразделения Общества, на которых осуществляется хозяйственная деятельность, оказывающая негативное воздействие на окружающую среду (далее — НВОС): Технопарк «Руднево» (Руднево-16, Руднево-7), площадка «Машково», обособленное подразделение в аэропорту Внуково.</w:t>
      </w:r>
    </w:p>
    <w:p>
      <w:pPr>
        <w:spacing w:after="0" w:before="0"/>
        <w:ind w:firstLine="709"/>
        <w:jc w:val="both"/>
      </w:pPr>
      <w:r>
        <w:rPr>
          <w:b/>
          <w:i w:val="0"/>
        </w:rPr>
        <w:t>Источники НВОС, характерные для производства авиационных интерьеров:</w:t>
      </w:r>
    </w:p>
    <w:p>
      <w:pPr>
        <w:ind w:left="425" w:hanging="283"/>
        <w:jc w:val="both"/>
      </w:pPr>
      <w:r>
        <w:rPr>
          <w:b w:val="0"/>
          <w:i w:val="0"/>
        </w:rPr>
        <w:t>– выбросы в атмосферу: окрасочные камеры (растворители ЛКМ — ксилол, толуол, бутилацетат); участки формования и склейки композитов (эпоксидные/фенольные смолы, препреги; возможно выделение формальдегида, фенола, стирола — вещества I–II класса опасности); механическая обработка и раскрой композитов, сотопанелей (пыль стеклопластика, углепластика); лазерная резка, сварка (сварочный аэрозоль, оксиды металлов);</w:t>
      </w:r>
    </w:p>
    <w:p>
      <w:pPr>
        <w:ind w:left="425" w:hanging="283"/>
        <w:jc w:val="both"/>
      </w:pPr>
      <w:r>
        <w:rPr>
          <w:b w:val="0"/>
          <w:i w:val="0"/>
        </w:rPr>
        <w:t>– отходы: обрезь препрегов, стекло- и углепластика, сотопанелей; остатки и тара ЛКМ, клеев, смол, растворителей; отработанные фильтры окрасочных камер и аспирации; обтирочный материал, загрязнённый ЛКМ и маслами; отработанные масла и СОЖ; лом металлов; текстиль, кожа, поролон (обивочные материалы); ртутные лампы, аккумуляторы, оргтехника; ТКО;</w:t>
      </w:r>
    </w:p>
    <w:p>
      <w:pPr>
        <w:ind w:left="425" w:hanging="283"/>
        <w:jc w:val="both"/>
      </w:pPr>
      <w:r>
        <w:rPr>
          <w:b w:val="0"/>
          <w:i w:val="0"/>
        </w:rPr>
        <w:t>– сточные воды: как правило, сброс в централизованную систему водоотведения через арендодателя (уточняется по договорам аренды).</w:t>
      </w:r>
    </w:p>
    <w:p>
      <w:pPr>
        <w:keepNext/>
        <w:spacing w:after="80" w:before="200"/>
        <w:jc w:val="left"/>
      </w:pPr>
      <w:r>
        <w:rPr>
          <w:b/>
          <w:i w:val="0"/>
        </w:rPr>
        <w:t>2. Нормативная база</w:t>
      </w:r>
    </w:p>
    <w:p>
      <w:pPr>
        <w:ind w:left="425" w:hanging="283"/>
        <w:jc w:val="both"/>
      </w:pPr>
      <w:r>
        <w:rPr>
          <w:b w:val="0"/>
          <w:i w:val="0"/>
          <w:sz w:val="26"/>
        </w:rPr>
        <w:t>– Федеральный закон от 10.01.2002 № 7-ФЗ «Об охране окружающей среды» (ст. 16–16.5, 22, 31.2, 67, 69.2, 73);</w:t>
      </w:r>
    </w:p>
    <w:p>
      <w:pPr>
        <w:ind w:left="425" w:hanging="283"/>
        <w:jc w:val="both"/>
      </w:pPr>
      <w:r>
        <w:rPr>
          <w:b w:val="0"/>
          <w:i w:val="0"/>
          <w:sz w:val="26"/>
        </w:rPr>
        <w:t>– Федеральный закон от 24.06.1998 № 89-ФЗ «Об отходах производства и потребления» (ст. 4, 9, 11, 14, 14.2–14.4, 15, 18, 19, 24.2, 24.5, 24.7);</w:t>
      </w:r>
    </w:p>
    <w:p>
      <w:pPr>
        <w:ind w:left="425" w:hanging="283"/>
        <w:jc w:val="both"/>
      </w:pPr>
      <w:r>
        <w:rPr>
          <w:b w:val="0"/>
          <w:i w:val="0"/>
          <w:sz w:val="26"/>
        </w:rPr>
        <w:t>– Федеральный закон от 04.05.1999 № 96-ФЗ «Об охране атмосферного воздуха» (ст. 22, 25, 30);</w:t>
      </w:r>
    </w:p>
    <w:p>
      <w:pPr>
        <w:ind w:left="425" w:hanging="283"/>
        <w:jc w:val="both"/>
      </w:pPr>
      <w:r>
        <w:rPr>
          <w:b w:val="0"/>
          <w:i w:val="0"/>
          <w:sz w:val="26"/>
        </w:rPr>
        <w:t>– Постановление Правительства РФ от 29.05.2026 № 636 (критерии отнесения объектов к I–IV категориям НВОС; действует с 01.09.2026, заменило ПП РФ № 2398);</w:t>
      </w:r>
    </w:p>
    <w:p>
      <w:pPr>
        <w:ind w:left="425" w:hanging="283"/>
        <w:jc w:val="both"/>
      </w:pPr>
      <w:r>
        <w:rPr>
          <w:b w:val="0"/>
          <w:i w:val="0"/>
          <w:sz w:val="26"/>
        </w:rPr>
        <w:t>– Постановление Правительства РФ от 03.03.2017 № 255 (исчисление и взимание платы за НВОС); постановление Правительства РФ от 13.09.2016 № 913 (ставки платы);</w:t>
      </w:r>
    </w:p>
    <w:p>
      <w:pPr>
        <w:ind w:left="425" w:hanging="283"/>
        <w:jc w:val="both"/>
      </w:pPr>
      <w:r>
        <w:rPr>
          <w:b w:val="0"/>
          <w:i w:val="0"/>
          <w:sz w:val="26"/>
        </w:rPr>
        <w:t>– Постановление Правительства РФ от 03.03.2018 № 222 (санитарно-защитные зоны);</w:t>
      </w:r>
    </w:p>
    <w:p>
      <w:pPr>
        <w:ind w:left="425" w:hanging="283"/>
        <w:jc w:val="both"/>
      </w:pPr>
      <w:r>
        <w:rPr>
          <w:b w:val="0"/>
          <w:i w:val="0"/>
          <w:sz w:val="26"/>
        </w:rPr>
        <w:t>– Приказ Минприроды России от 19.11.2021 № 871 (инвентаризация стационарных источников и выбросов);</w:t>
      </w:r>
    </w:p>
    <w:p>
      <w:pPr>
        <w:ind w:left="425" w:hanging="283"/>
        <w:jc w:val="both"/>
      </w:pPr>
      <w:r>
        <w:rPr>
          <w:b w:val="0"/>
          <w:i w:val="0"/>
          <w:sz w:val="26"/>
        </w:rPr>
        <w:t>– Приказ Минприроды России от 11.08.2020 № 581 (методика расчёта нормативов допустимых выбросов);</w:t>
      </w:r>
    </w:p>
    <w:p>
      <w:pPr>
        <w:ind w:left="425" w:hanging="283"/>
        <w:jc w:val="both"/>
      </w:pPr>
      <w:r>
        <w:rPr>
          <w:b w:val="0"/>
          <w:i w:val="0"/>
          <w:sz w:val="26"/>
        </w:rPr>
        <w:t>– Приказ Минприроды России от 18.02.2022 № 109 (программа и отчёт производственного экологического контроля);</w:t>
      </w:r>
    </w:p>
    <w:p>
      <w:pPr>
        <w:ind w:left="425" w:hanging="283"/>
        <w:jc w:val="both"/>
      </w:pPr>
      <w:r>
        <w:rPr>
          <w:b w:val="0"/>
          <w:i w:val="0"/>
          <w:sz w:val="26"/>
        </w:rPr>
        <w:t>– Приказ Минприроды России от 15.05.2026 № 286 (порядок паспортизации и типовые формы паспортов отходов I–IV классов; с 01.09.2026, заменил приказ № 1026);</w:t>
      </w:r>
    </w:p>
    <w:p>
      <w:pPr>
        <w:ind w:left="425" w:hanging="283"/>
        <w:jc w:val="both"/>
      </w:pPr>
      <w:r>
        <w:rPr>
          <w:b w:val="0"/>
          <w:i w:val="0"/>
          <w:sz w:val="26"/>
        </w:rPr>
        <w:t>– Приказ Минприроды России от 16.04.2026 № 227 (порядок учёта в области обращения с отходами; с 01.09.2026, заменил приказ № 1028);</w:t>
      </w:r>
    </w:p>
    <w:p>
      <w:pPr>
        <w:ind w:left="425" w:hanging="283"/>
        <w:jc w:val="both"/>
      </w:pPr>
      <w:r>
        <w:rPr>
          <w:b w:val="0"/>
          <w:i w:val="0"/>
          <w:sz w:val="26"/>
        </w:rPr>
        <w:t>– Приказ Минприроды России от 31.03.2025 № 158 (критерии отнесения отходов к I–V классам опасности; с 01.09.2025, заменил приказ № 536); приказ Минприроды России от 23.04.2026 № 246 (порядок подтверждения класса опасности; с 01.09.2026, заменил приказ № 1027);</w:t>
      </w:r>
    </w:p>
    <w:p>
      <w:pPr>
        <w:ind w:left="425" w:hanging="283"/>
        <w:jc w:val="both"/>
      </w:pPr>
      <w:r>
        <w:rPr>
          <w:b w:val="0"/>
          <w:i w:val="0"/>
          <w:sz w:val="26"/>
        </w:rPr>
        <w:t>– Приказ Минприроды России от 07.12.2020 № 1021 и от 08.12.2020 № 1029 (разработка и утверждение нормативов образования отходов и лимитов на их размещение);</w:t>
      </w:r>
    </w:p>
    <w:p>
      <w:pPr>
        <w:ind w:left="425" w:hanging="283"/>
        <w:jc w:val="both"/>
      </w:pPr>
      <w:r>
        <w:rPr>
          <w:b w:val="0"/>
          <w:i w:val="0"/>
          <w:sz w:val="26"/>
        </w:rPr>
        <w:t>– Приказы Минприроды России от 26.11.2025 № 651 и от 28.11.2025 № 662 (мероприятия и план мероприятий по снижению выбросов в периоды неблагоприятных метеоусловий, НМУ; с 01.03.2026);</w:t>
      </w:r>
    </w:p>
    <w:p>
      <w:pPr>
        <w:ind w:left="425" w:hanging="283"/>
        <w:jc w:val="both"/>
      </w:pPr>
      <w:r>
        <w:rPr>
          <w:b w:val="0"/>
          <w:i w:val="0"/>
          <w:sz w:val="26"/>
        </w:rPr>
        <w:t>– Приказ Росприроднадзора от 22.05.2017 № 242 (Федеральный классификационный каталог отходов, ФККО);</w:t>
      </w:r>
    </w:p>
    <w:p>
      <w:pPr>
        <w:ind w:left="425" w:hanging="283"/>
        <w:jc w:val="both"/>
      </w:pPr>
      <w:r>
        <w:rPr>
          <w:b w:val="0"/>
          <w:i w:val="0"/>
          <w:sz w:val="26"/>
        </w:rPr>
        <w:t>– Приказ Минприроды России от 15.09.2017 № 498 (правила эксплуатации газоочистных и пылеулавливающих установок, ГОУ);</w:t>
      </w:r>
    </w:p>
    <w:p>
      <w:pPr>
        <w:ind w:left="425" w:hanging="283"/>
        <w:jc w:val="both"/>
      </w:pPr>
      <w:r>
        <w:rPr>
          <w:b w:val="0"/>
          <w:i w:val="0"/>
          <w:sz w:val="26"/>
        </w:rPr>
        <w:t>– СанПиН 2.1.3684-21 (требования к местам накопления отходов);</w:t>
      </w:r>
    </w:p>
    <w:p>
      <w:pPr>
        <w:ind w:left="425" w:hanging="283"/>
        <w:jc w:val="both"/>
      </w:pPr>
      <w:r>
        <w:rPr>
          <w:b w:val="0"/>
          <w:i w:val="0"/>
          <w:sz w:val="26"/>
        </w:rPr>
        <w:t>– Правила холодного водоснабжения и водоотведения, утв. ПП РФ от 29.07.2013 № 644 (декларация о составе и свойствах сточных вод);</w:t>
      </w:r>
    </w:p>
    <w:p>
      <w:pPr>
        <w:ind w:left="425" w:hanging="283"/>
        <w:jc w:val="both"/>
      </w:pPr>
      <w:r>
        <w:rPr>
          <w:b w:val="0"/>
          <w:i w:val="0"/>
          <w:sz w:val="26"/>
        </w:rPr>
        <w:t>– Кодекс РФ об административных правонарушениях (гл. 8, ст. 13.19, 19.7), Уголовный кодекс РФ (гл. 26).</w:t>
      </w:r>
    </w:p>
    <w:p>
      <w:pPr>
        <w:keepNext/>
        <w:spacing w:after="80" w:before="200"/>
        <w:jc w:val="left"/>
      </w:pPr>
      <w:r>
        <w:rPr>
          <w:b/>
          <w:i w:val="0"/>
        </w:rPr>
        <w:t>3. Участники процесса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3118"/>
        <w:gridCol w:w="6520"/>
      </w:tblGrid>
      <w:tr>
        <w:trPr>
          <w:tblHeader w:val="true"/>
        </w:trPr>
        <w:tc>
          <w:tcPr>
            <w:tcW w:type="dxa" w:w="3118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2"/>
              </w:rPr>
              <w:t>Участник</w:t>
            </w:r>
          </w:p>
        </w:tc>
        <w:tc>
          <w:tcPr>
            <w:tcW w:type="dxa" w:w="6520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2"/>
              </w:rPr>
              <w:t>Роль в процессе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Генеральный директор (ГД)</w:t>
            </w:r>
          </w:p>
        </w:tc>
        <w:tc>
          <w:tcPr>
            <w:tcW w:type="dxa" w:w="6520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Утверждает приказы, программу ПЭК, декларации; подписывает договоры с операторами по отходам и лабораторией; утверждает план природоохранных мероприятий и бюджет; несёт ответственность как руководитель юридического лица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Начальник ООТиПБ / инженер-эколог (далее — эколог)</w:t>
            </w:r>
          </w:p>
        </w:tc>
        <w:tc>
          <w:tcPr>
            <w:tcW w:type="dxa" w:w="6520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Владелец процесса. Организует и контролирует все этапы, готовит документы и отчётность, взаимодействует с Росприроднадзором и региональными органами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ОГТ (отдел главного технолога)</w:t>
            </w:r>
          </w:p>
        </w:tc>
        <w:tc>
          <w:tcPr>
            <w:tcW w:type="dxa" w:w="6520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Предоставляет данные о техпроцессах, материалах, расходе ЛКМ/клеев/смол; уведомляет эколога о любых изменениях техпроцессов до их внедрения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СГИ (служба главного инженера)</w:t>
            </w:r>
          </w:p>
        </w:tc>
        <w:tc>
          <w:tcPr>
            <w:tcW w:type="dxa" w:w="6520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Эксплуатация ГОУ (окрасочные камеры, вентиляция, аспирация), оборудование мест накопления отходов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Руководители подразделений</w:t>
            </w:r>
          </w:p>
        </w:tc>
        <w:tc>
          <w:tcPr>
            <w:tcW w:type="dxa" w:w="6520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Раздельное накопление отходов на участках, передача данных для учёта, исполнение предписаний эколога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Отдел закупок / юридическая служба</w:t>
            </w:r>
          </w:p>
        </w:tc>
        <w:tc>
          <w:tcPr>
            <w:tcW w:type="dxa" w:w="6520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Заключение договоров с лицензированными организациями, проверка лицензий и аккредитаций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Бухгалтерия</w:t>
            </w:r>
          </w:p>
        </w:tc>
        <w:tc>
          <w:tcPr>
            <w:tcW w:type="dxa" w:w="6520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Внесение платы за НВОС и авансовых платежей, оплата услуг подрядчиков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Отдел управления персоналом (ОУП)</w:t>
            </w:r>
          </w:p>
        </w:tc>
        <w:tc>
          <w:tcPr>
            <w:tcW w:type="dxa" w:w="6520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Организация обучения ответственных лиц, учёт документов о квалификации</w:t>
            </w:r>
          </w:p>
        </w:tc>
      </w:tr>
    </w:tbl>
    <w:p>
      <w:pPr>
        <w:keepNext/>
        <w:spacing w:after="80" w:before="200"/>
        <w:jc w:val="left"/>
      </w:pPr>
      <w:r>
        <w:rPr>
          <w:b/>
          <w:i w:val="0"/>
        </w:rPr>
        <w:t>4. Исходные условия, требующие подтверждения на старте процесса</w:t>
      </w:r>
    </w:p>
    <w:p>
      <w:pPr>
        <w:ind w:left="425" w:hanging="283"/>
        <w:jc w:val="both"/>
      </w:pPr>
      <w:r>
        <w:rPr>
          <w:b w:val="0"/>
          <w:i w:val="0"/>
        </w:rPr>
        <w:t xml:space="preserve">– категория объекта НВОС по каждой площадке (II, III или IV) — определяет объём документов и отчётности (ветвление на этапе 8). Процесс ведётся </w:t>
      </w:r>
      <w:r>
        <w:rPr>
          <w:b/>
          <w:i w:val="0"/>
        </w:rPr>
        <w:t>по каждому объекту НВОС отдельно</w:t>
      </w:r>
      <w:r>
        <w:rPr>
          <w:b w:val="0"/>
          <w:i w:val="0"/>
        </w:rPr>
        <w:t xml:space="preserve"> (Руднево-16, Руднево-7, Машково, Внуково — при наличии собственного производства);</w:t>
      </w:r>
    </w:p>
    <w:p>
      <w:pPr>
        <w:ind w:left="425" w:hanging="283"/>
        <w:jc w:val="both"/>
      </w:pPr>
      <w:r>
        <w:rPr>
          <w:b w:val="0"/>
          <w:i w:val="0"/>
        </w:rPr>
        <w:t xml:space="preserve">– </w:t>
      </w:r>
      <w:r>
        <w:rPr>
          <w:b/>
          <w:i w:val="0"/>
        </w:rPr>
        <w:t>поднадзорность объекта</w:t>
      </w:r>
      <w:r>
        <w:rPr>
          <w:b w:val="0"/>
          <w:i w:val="0"/>
        </w:rPr>
        <w:t xml:space="preserve"> (федеральный надзор — Росприроднадзор или региональный) — указывается в сведениях об объекте в реестре НВОС; для площадок на территории ОЭЗ «Технополис Москва» проверить по реестру, а не принимать по умолчанию;</w:t>
      </w:r>
    </w:p>
    <w:p>
      <w:pPr>
        <w:ind w:left="425" w:hanging="283"/>
        <w:jc w:val="both"/>
      </w:pPr>
      <w:r>
        <w:rPr>
          <w:b w:val="0"/>
          <w:i w:val="0"/>
        </w:rPr>
        <w:t xml:space="preserve">– распределение обязанностей с арендодателями (АО «ОЭЗ «Технополис Москва» и др.) по отходам, водоотведению, вентвыбросам. </w:t>
      </w:r>
      <w:r>
        <w:rPr>
          <w:b/>
          <w:i w:val="0"/>
        </w:rPr>
        <w:t>Собственником отходов является Общество</w:t>
      </w:r>
      <w:r>
        <w:rPr>
          <w:b w:val="0"/>
          <w:i w:val="0"/>
        </w:rPr>
        <w:t xml:space="preserve"> как собственник сырья и материалов, в результате использования которых отходы образовались (ст. 4 89-ФЗ), — передача функций арендодателю по договору не снимает с Общества обязанностей по учёту, паспортизации и отчётности;</w:t>
      </w:r>
    </w:p>
    <w:p>
      <w:pPr>
        <w:ind w:left="425" w:hanging="283"/>
        <w:jc w:val="both"/>
      </w:pPr>
      <w:r>
        <w:rPr>
          <w:b w:val="0"/>
          <w:i w:val="0"/>
        </w:rPr>
        <w:t>– I категория для производства интерьеров не характерна (требует комплексного экологического разрешения) и в процесс не включена; при её присвоении процесс пересматривается;</w:t>
      </w:r>
    </w:p>
    <w:p>
      <w:pPr>
        <w:ind w:left="425" w:hanging="283"/>
        <w:jc w:val="both"/>
      </w:pPr>
      <w:r>
        <w:rPr>
          <w:b w:val="0"/>
          <w:i w:val="0"/>
        </w:rPr>
        <w:t xml:space="preserve">– </w:t>
      </w:r>
      <w:r>
        <w:rPr>
          <w:b/>
          <w:i w:val="0"/>
        </w:rPr>
        <w:t>водоотведение</w:t>
      </w:r>
      <w:r>
        <w:rPr>
          <w:b w:val="0"/>
          <w:i w:val="0"/>
        </w:rPr>
        <w:t>: кто является абонентом по договору водоотведения (Общество или арендодатель) и есть ли производственные стоки (гидрофильтры окрасочных камер, мойки). При среднесуточном сбросе от 30 м³/сут с объекта абонент ежегодно подаёт в водоканал декларацию о составе и свойствах сточных вод (Правила № 644); при её отсутствии к плате за негативное воздействие на систему водоотведения применяется коэффициент 2;</w:t>
      </w:r>
    </w:p>
    <w:p>
      <w:pPr>
        <w:ind w:left="425" w:hanging="283"/>
        <w:jc w:val="both"/>
      </w:pPr>
      <w:r>
        <w:rPr>
          <w:b w:val="0"/>
          <w:i w:val="0"/>
        </w:rPr>
        <w:t>– статус Общества как субъекта МСП (при численности более 250 человек Общество не является МСП и обязано вносить квартальные авансовые платежи за НВОС).</w:t>
      </w:r>
    </w:p>
    <w:p>
      <w:pPr>
        <w:keepNext/>
        <w:spacing w:after="80" w:before="200"/>
        <w:jc w:val="left"/>
      </w:pPr>
      <w:r>
        <w:rPr>
          <w:b/>
          <w:i w:val="0"/>
        </w:rPr>
        <w:t>5. Первоочередные действия (IV квартал 2026 г.)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567"/>
        <w:gridCol w:w="5386"/>
        <w:gridCol w:w="1984"/>
        <w:gridCol w:w="1701"/>
      </w:tblGrid>
      <w:tr>
        <w:trPr>
          <w:tblHeader w:val="true"/>
        </w:trPr>
        <w:tc>
          <w:tcPr>
            <w:tcW w:type="dxa" w:w="567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2"/>
              </w:rPr>
              <w:t>№</w:t>
            </w:r>
          </w:p>
        </w:tc>
        <w:tc>
          <w:tcPr>
            <w:tcW w:type="dxa" w:w="5386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2"/>
              </w:rPr>
              <w:t>Действие</w:t>
            </w:r>
          </w:p>
        </w:tc>
        <w:tc>
          <w:tcPr>
            <w:tcW w:type="dxa" w:w="1984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2"/>
              </w:rPr>
              <w:t>Основание</w:t>
            </w:r>
          </w:p>
        </w:tc>
        <w:tc>
          <w:tcPr>
            <w:tcW w:type="dxa" w:w="1701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2"/>
              </w:rPr>
              <w:t>Срок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</w:t>
            </w:r>
          </w:p>
        </w:tc>
        <w:tc>
          <w:tcPr>
            <w:tcW w:type="dxa" w:w="5386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Проверить категорию каждого объекта НВОС по новым критериям и подать заявление о корректировке сведений</w:t>
            </w:r>
          </w:p>
        </w:tc>
        <w:tc>
          <w:tcPr>
            <w:tcW w:type="dxa" w:w="198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ПП РФ № 636</w:t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до 01.12.2026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2</w:t>
            </w:r>
          </w:p>
        </w:tc>
        <w:tc>
          <w:tcPr>
            <w:tcW w:type="dxa" w:w="5386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Внести авансовый платёж за НВОС за III квартал 2026 г.</w:t>
            </w:r>
          </w:p>
        </w:tc>
        <w:tc>
          <w:tcPr>
            <w:tcW w:type="dxa" w:w="198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ст. 16.4 7-ФЗ</w:t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до 20.10.2026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3</w:t>
            </w:r>
          </w:p>
        </w:tc>
        <w:tc>
          <w:tcPr>
            <w:tcW w:type="dxa" w:w="5386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Перевести учёт отходов на порядок приказа № 227 (с 01.09.2026), обобщить данные за сентябрь</w:t>
            </w:r>
          </w:p>
        </w:tc>
        <w:tc>
          <w:tcPr>
            <w:tcW w:type="dxa" w:w="198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приказ № 227</w:t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до 31.10.2026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4</w:t>
            </w:r>
          </w:p>
        </w:tc>
        <w:tc>
          <w:tcPr>
            <w:tcW w:type="dxa" w:w="5386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Новые и переоформляемые паспорта отходов — по формам приказа № 286</w:t>
            </w:r>
          </w:p>
        </w:tc>
        <w:tc>
          <w:tcPr>
            <w:tcW w:type="dxa" w:w="198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приказ № 286</w:t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постоянно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5</w:t>
            </w:r>
          </w:p>
        </w:tc>
        <w:tc>
          <w:tcPr>
            <w:tcW w:type="dxa" w:w="5386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Проверить наличие плана мероприятий при НМУ по новым требованиям</w:t>
            </w:r>
          </w:p>
        </w:tc>
        <w:tc>
          <w:tcPr>
            <w:tcW w:type="dxa" w:w="198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приказы № 651, № 662</w:t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до 31.12.2026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6</w:t>
            </w:r>
          </w:p>
        </w:tc>
        <w:tc>
          <w:tcPr>
            <w:tcW w:type="dxa" w:w="5386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Сверить договоры аренды по распределению обязанностей (отходы, водоотведение, вентиляция)</w:t>
            </w:r>
          </w:p>
        </w:tc>
        <w:tc>
          <w:tcPr>
            <w:tcW w:type="dxa" w:w="198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ст. 4 89-ФЗ</w:t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до 31.12.2026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7</w:t>
            </w:r>
          </w:p>
        </w:tc>
        <w:tc>
          <w:tcPr>
            <w:tcW w:type="dxa" w:w="5386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Проверить, требуется ли от Общества декларация о составе и свойствах сточных вод (абонент, объём сброса)</w:t>
            </w:r>
          </w:p>
        </w:tc>
        <w:tc>
          <w:tcPr>
            <w:tcW w:type="dxa" w:w="198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Правила № 644</w:t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до 01.11.2026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8</w:t>
            </w:r>
          </w:p>
        </w:tc>
        <w:tc>
          <w:tcPr>
            <w:tcW w:type="dxa" w:w="5386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Подготовить отчётность за 2026 г. (декларация о плате — по новой форме)</w:t>
            </w:r>
          </w:p>
        </w:tc>
        <w:tc>
          <w:tcPr>
            <w:tcW w:type="dxa" w:w="198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Приложение 1</w:t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январь–март 2027</w:t>
            </w:r>
          </w:p>
        </w:tc>
      </w:tr>
    </w:tbl>
    <w:p>
      <w:pPr>
        <w:spacing w:after="0" w:before="120"/>
        <w:ind w:firstLine="709"/>
        <w:jc w:val="both"/>
      </w:pPr>
      <w:r>
        <w:rPr>
          <w:b w:val="0"/>
          <w:i w:val="0"/>
          <w:sz w:val="26"/>
        </w:rPr>
        <w:t>Сроки этапов в разделе «Описание блок-схемы», не установленные законом, являются внутренними нормативами Общества и утверждаются приказом. Этап 3 (обучение) выполняется параллельно с этапами 4–7: при вводе нового объекта этапы 4–6 должны укладываться в 6 месяцев со дня начала эксплуатации (срок постановки на учёт, ст. 69.2 7-ФЗ).</w:t>
      </w:r>
    </w:p>
    <w:p>
      <w:pPr>
        <w:keepNext/>
        <w:spacing w:after="80" w:before="200"/>
        <w:jc w:val="left"/>
      </w:pPr>
      <w:r>
        <w:rPr>
          <w:b/>
          <w:i w:val="0"/>
        </w:rPr>
        <w:t>6. Показатели результативности и пересмотр процесса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5102"/>
        <w:gridCol w:w="2268"/>
        <w:gridCol w:w="2268"/>
      </w:tblGrid>
      <w:tr>
        <w:trPr>
          <w:tblHeader w:val="true"/>
        </w:trPr>
        <w:tc>
          <w:tcPr>
            <w:tcW w:type="dxa" w:w="5102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2"/>
              </w:rPr>
              <w:t>Показатель</w:t>
            </w:r>
          </w:p>
        </w:tc>
        <w:tc>
          <w:tcPr>
            <w:tcW w:type="dxa" w:w="2268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2"/>
              </w:rPr>
              <w:t>Целевое значение</w:t>
            </w:r>
          </w:p>
        </w:tc>
        <w:tc>
          <w:tcPr>
            <w:tcW w:type="dxa" w:w="2268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2"/>
              </w:rPr>
              <w:t>Периодичность</w:t>
            </w:r>
          </w:p>
        </w:tc>
      </w:tr>
      <w:tr>
        <w:tc>
          <w:tcPr>
            <w:tcW w:type="dxa" w:w="5102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Отчётность и платежи, сданные/внесённые в срок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100 %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ежеквартально</w:t>
            </w:r>
          </w:p>
        </w:tc>
      </w:tr>
      <w:tr>
        <w:tc>
          <w:tcPr>
            <w:tcW w:type="dxa" w:w="5102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Штрафы и предписания надзорных органов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0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ежегодно</w:t>
            </w:r>
          </w:p>
        </w:tc>
      </w:tr>
      <w:tr>
        <w:tc>
          <w:tcPr>
            <w:tcW w:type="dxa" w:w="5102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Отходы с паспортом (I–IV кл.) или подтверждённым классом (V кл.)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100 % видов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ежеквартально</w:t>
            </w:r>
          </w:p>
        </w:tc>
      </w:tr>
      <w:tr>
        <w:tc>
          <w:tcPr>
            <w:tcW w:type="dxa" w:w="5102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Отходы, накопленные свыше 11 месяцев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0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ежемесячно</w:t>
            </w:r>
          </w:p>
        </w:tc>
      </w:tr>
      <w:tr>
        <w:tc>
          <w:tcPr>
            <w:tcW w:type="dxa" w:w="5102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Изменения производства, согласованные с экологом до внедрения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100 %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ежеквартально</w:t>
            </w:r>
          </w:p>
        </w:tc>
      </w:tr>
      <w:tr>
        <w:tc>
          <w:tcPr>
            <w:tcW w:type="dxa" w:w="5102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Документы в реестре сроков с истекающим сроком без плана продления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0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ежемесячно</w:t>
            </w:r>
          </w:p>
        </w:tc>
      </w:tr>
    </w:tbl>
    <w:p>
      <w:pPr>
        <w:spacing w:after="0" w:before="120"/>
        <w:ind w:firstLine="709"/>
        <w:jc w:val="both"/>
      </w:pPr>
      <w:r>
        <w:rPr>
          <w:b w:val="0"/>
          <w:i w:val="0"/>
          <w:sz w:val="26"/>
        </w:rPr>
        <w:t>Процесс пересматривается не реже 1 раза в год (этап 24) и в течение 1 месяца после изменения законодательства, категории объекта или организационной структуры. Записи процесса (паспорта, журналы учёта, акты передачи отходов, отчётность, документы ПЭК) хранятся по номенклатуре дел в сроки, установленные соответствующими актами.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86500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wim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86500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865009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wim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86500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865009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wim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86500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120" w:before="0"/>
        <w:jc w:val="center"/>
      </w:pPr>
      <w:r>
        <w:rPr>
          <w:b/>
          <w:i w:val="0"/>
        </w:rPr>
        <w:t>Описание блок-схемы бизнес-процесса «Экологическое сопровождение деятельности»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567"/>
        <w:gridCol w:w="4876"/>
        <w:gridCol w:w="1474"/>
        <w:gridCol w:w="1247"/>
        <w:gridCol w:w="1928"/>
      </w:tblGrid>
      <w:tr>
        <w:trPr>
          <w:tblHeader w:val="true"/>
        </w:trPr>
        <w:tc>
          <w:tcPr>
            <w:tcW w:type="dxa" w:w="567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2"/>
              </w:rPr>
              <w:t>№</w:t>
            </w:r>
          </w:p>
        </w:tc>
        <w:tc>
          <w:tcPr>
            <w:tcW w:type="dxa" w:w="4876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2"/>
              </w:rPr>
              <w:t>Краткое описание</w:t>
            </w:r>
          </w:p>
        </w:tc>
        <w:tc>
          <w:tcPr>
            <w:tcW w:type="dxa" w:w="1474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2"/>
              </w:rPr>
              <w:t>Отв.</w:t>
            </w:r>
          </w:p>
        </w:tc>
        <w:tc>
          <w:tcPr>
            <w:tcW w:type="dxa" w:w="1247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2"/>
              </w:rPr>
              <w:t>Срок</w:t>
            </w:r>
          </w:p>
        </w:tc>
        <w:tc>
          <w:tcPr>
            <w:tcW w:type="dxa" w:w="1928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2"/>
              </w:rPr>
              <w:t>Результат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Подготовка проекта приказа о назначении ответственных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Эколог готовит проект приказа о назначении ответственных: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за обеспечение экологической безопасности в целом;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за производственный экологический контроль (ПЭК);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за обращение с отходами (по каждой площадке);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за эксплуатацию ГОУ (приказ Минприроды № 498).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Начальник ООТиПБ (эколог)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5 раб. дней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Проект приказа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2.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Подписание приказа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ГД рассматривает и подписывает приказ. В случае несогласия проект возвращается на доработку (этап 1). Приказ актуализируется при кадровых изменениях.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Генеральный директор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2 раб. дня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Подписанный приказ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3.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Обучение ответственных лиц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руководители и специалисты, принимающие решения по деятельности, оказывающей НВОС, — подготовка в области охраны окружающей среды и экологической безопасности (ст. 73 7-ФЗ);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лица, допущенные к обращению с отходами I–IV классов, — профессиональная подготовка (ст. 15 89-ФЗ).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ОУП организует обучение в образовательной организации с лицензией.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ОУП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До допуска к работе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Удостоверения, свидетельства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4.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Сбор исходных данных по каждой площадке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техпроцессы и оборудование (окрасочные камеры, участки композитов, раскрой, ЧПУ, лазерная резка, сварка);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перечень и годовой расход материалов (ЛКМ, клеи, смолы, препреги, растворители) с паспортами безопасности;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вентиляционные системы (схемы, паспорта);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договоры аренды: кто обеспечивает вывоз отходов, водоотведение;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перечень образующихся отходов по участкам.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Данные передаются экологу.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ОГТ, СГИ, руководители подразделений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20 раб. дней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Реестр исходных данных по площадкам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5.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Инвентаризация стационарных источников и выбросов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По приказу Минприроды № 871 (своими силами или подрядчиком): источники, перечень загрязняющих веществ, классы опасности, массы выбросов.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Повторяется при изменении техпроцессов, оборудования, сырья (вход из этапа 19, соединитель «2»).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Начальник ООТиПБ (эколог) / подрядчик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1–2 мес.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Отчёт об инвентаризации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6.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Определение категории объекта НВОС и постановка на государственный учёт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Категория (I–IV) — по критериям ПП РФ № 636 (с 01.09.2026). Заявка — через личный кабинет природопользователя Росприроднадзора. Каждая площадка с самостоятельным производством — отдельный объект НВОС.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Срок — не позднее 6 месяцев со дня начала эксплуатации (ст. 69.2 7-ФЗ). При изменении сведений — актуализация.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/>
                <w:i w:val="0"/>
                <w:sz w:val="22"/>
              </w:rPr>
              <w:t>С 01.09.2026 действуют новые критерии (ПП РФ № 636).</w:t>
            </w:r>
            <w:r>
              <w:rPr>
                <w:b w:val="0"/>
                <w:i w:val="0"/>
                <w:sz w:val="22"/>
              </w:rPr>
              <w:t xml:space="preserve"> По уже учтённым объектам до 01.12.2026 подать в ЛК природопользователя заявление о корректировке сведений; при неподаче Росприроднадзор направляет уведомление, затем категория корректируется надзорным органом самостоятельно.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Орган надзора (федеральный / региональный) — по сведениям реестра НВОС.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Начальник ООТиПБ (эколог)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 мес.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Свидетельство о постановке на учёт (код, категория)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7.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Нормирование по категории объекта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 xml:space="preserve">- </w:t>
            </w:r>
            <w:r>
              <w:rPr>
                <w:b/>
                <w:i w:val="0"/>
                <w:sz w:val="22"/>
              </w:rPr>
              <w:t>II категория:</w:t>
            </w:r>
            <w:r>
              <w:rPr>
                <w:b w:val="0"/>
                <w:i w:val="0"/>
                <w:sz w:val="22"/>
              </w:rPr>
              <w:t xml:space="preserve"> нормативы допустимых выбросов (НДВ, приказ № 581) — прилагаются к декларации о воздействии на окружающую среду (ст. 31.2 7-ФЗ); нормативы образования отходов и лимиты на их размещение (НООЛР, ст. 18 89-ФЗ, приказы № 1021, № 1029) — утверждаются территориальным органом Росприроднадзора;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 xml:space="preserve">- </w:t>
            </w:r>
            <w:r>
              <w:rPr>
                <w:b/>
                <w:i w:val="0"/>
                <w:sz w:val="22"/>
              </w:rPr>
              <w:t>III категория:</w:t>
            </w:r>
            <w:r>
              <w:rPr>
                <w:b w:val="0"/>
                <w:i w:val="0"/>
                <w:sz w:val="22"/>
              </w:rPr>
              <w:t xml:space="preserve"> НДВ только для высокотоксичных веществ и веществ с канцерогенными, мутагенными свойствами (I–II класса опасности) при их наличии в выбросах (ст. 22 7-ФЗ); отдельной процедуры утверждения нормативов органами власти не предусмотрено. Для композитного производства проверить формальдегид, фенол, стирол, эпихлоргидрин;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 xml:space="preserve">- </w:t>
            </w:r>
            <w:r>
              <w:rPr>
                <w:b/>
                <w:i w:val="0"/>
                <w:sz w:val="22"/>
              </w:rPr>
              <w:t>IV категория:</w:t>
            </w:r>
            <w:r>
              <w:rPr>
                <w:b w:val="0"/>
                <w:i w:val="0"/>
                <w:sz w:val="22"/>
              </w:rPr>
              <w:t xml:space="preserve"> нормирование выбросов не требуется.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/>
                <w:i w:val="0"/>
                <w:sz w:val="22"/>
              </w:rPr>
              <w:t>План мероприятий при НМУ</w:t>
            </w:r>
            <w:r>
              <w:rPr>
                <w:b w:val="0"/>
                <w:i w:val="0"/>
                <w:sz w:val="22"/>
              </w:rPr>
              <w:t xml:space="preserve"> (приказы № 651, № 662, с 01.03.2026) — для объектов I–III категорий, имеющих источники выбросов.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Дополнительно: наличие санитарно-защитной зоны (ПП РФ № 222) — для площадок в технопарках запрашивается у арендодателя.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Начальник ООТиПБ (эколог) / подрядчик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2–4 мес.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Расчёты нормативов, проект декларации (II кат.)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8.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Объект II категории?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Если да — декларация о воздействии передаётся на подпись ГД (этап 9). Если нет — переход к этапу 10.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Начальник ООТиПБ (эколог)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-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-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9.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Подписание декларации о воздействии на окружающую среду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Декларация подаётся в орган надзора по сведениям реестра НВОС (Росприроднадзор или региональный орган) на 7 лет (ст. 31.2 7-ФЗ). Повторная подача — при изменении технологических процессов и объёмов выбросов.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Генеральный директор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2 раб. дня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Декларация подана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10.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Паспортизация и учёт отходов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отнесение каждого вида отходов к коду ФККО (приказ № 242);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проекты паспортов отходов I–IV классов опасности по новым типовым формам (приказ № 286, с 01.09.2026). Ранее оформленные паспорта продолжают действовать; переоформление — при изменении состава, свойств отходов или адреса места образования;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для отходов, отсутствующих в ФККО, — отнесение к классу по критериям приказа № 158 и подтверждение класса опасности по приказу № 246; для отходов V класса паспорт не составляется, класс подтверждается;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учёт в области обращения с отходами (приказ № 227, с 01.09.2026) — отдельно по каждому объекту НВОС и по Обществу в целом; обобщение — за месяц, квартал, полугодие и год, не позднее последнего дня месяца, следующего за периодом.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Начальник ООТиПБ (эколог)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 мес.; учёт — постоянно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Проекты паспортов, таблицы учёта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11.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Оборудование мест (площадок) накопления отходов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раздельное накопление по видам и классам опасности;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твёрдое покрытие, защита от осадков, маркировка ёмкостей;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ртутные лампы, аккумуляторы — в отдельной закрытой таре;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требования СанПиН 2.1.3684-21;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 xml:space="preserve">- срок накопления — </w:t>
            </w:r>
            <w:r>
              <w:rPr>
                <w:b/>
                <w:i w:val="0"/>
                <w:sz w:val="22"/>
              </w:rPr>
              <w:t>не более 11 месяцев</w:t>
            </w:r>
            <w:r>
              <w:rPr>
                <w:b w:val="0"/>
                <w:i w:val="0"/>
                <w:sz w:val="22"/>
              </w:rPr>
              <w:t xml:space="preserve"> (ст. 1 89-ФЗ).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Схема мест накопления согласуется с арендодателем.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ОГТ, СГИ, руководители подразделений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 мес.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Оборудованные места накопления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12.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Подготовка договоров на передачу отходов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ТКО — только региональному оператору (ст. 24.7 89-ФЗ);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отходы I–II классов (в т.ч. ртутные лампы) — федеральному оператору через ФГИС ОПВК (ст. 14.2–14.4 89-ФЗ);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отходы III–IV классов — организациям с лицензией (ст. 9 89-ФЗ); эколог проверяет наличие в лицензии кодов ФККО и видов работ;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лом металлов — организациям с лицензией на заготовку лома;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самовывоз отходов I–IV классов собственным транспортом без лицензии на транспортирование не допускается;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договор с аккредитованной лабораторией для замеров по программе ПЭК.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Закупки, юридическая служба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 мес.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Проекты договоров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13.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Подписание договоров, утверждение паспортов отходов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ГД подписывает договоры и утверждает паспорта отходов. Сохраняются акты приёма-передачи и документы о транспортировании отходов.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Генеральный директор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3 раб. дня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Действующие договоры, утверждённые паспорта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14.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Разработка программы ПЭК</w:t>
            </w:r>
            <w:r>
              <w:rPr>
                <w:b w:val="0"/>
                <w:i w:val="0"/>
                <w:sz w:val="22"/>
              </w:rPr>
              <w:t xml:space="preserve"> (только объекты I–III категорий)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Обязательна для объектов I–III категорий (ст. 67 7-ФЗ); для IV категории не требуется. Содержание — по приказу № 109: инвентаризационные данные, план-график контроля выбросов, контроль обращения с отходами, контроль работы ГОУ.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Начальник ООТиПБ (эколог)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 мес.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Проект программы ПЭК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15.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Утверждение программы ПЭК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В случае неутверждения программа возвращается на доработку (этап 14).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Генеральный директор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2 раб. дня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Утверждённая программа ПЭК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16.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Эксплуатация газоочистных и пылеулавливающих установок (ГОУ)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Фильтры окрасочных камер, аспирация участков обработки композитов. По приказу № 498: паспорт ГОУ, журнал учёта работы, замена фильтров по регламенту, проверка эффективности. Работа оборудования при неработающей ГОУ не допускается.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ОГТ, СГИ, руководители подразделений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Постоянно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Паспорта и журналы ГОУ, акты проверки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17.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Текущий контроль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ежемесячно: сбор данных учёта отходов, контроль вывоза и сроков накопления;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по графику ПЭК: замеры выбросов, контроль ГОУ;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ежеквартально: обход площадок, предписания руководителям подразделений, справка ГД;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 xml:space="preserve">- ведение </w:t>
            </w:r>
            <w:r>
              <w:rPr>
                <w:b/>
                <w:i w:val="0"/>
                <w:sz w:val="22"/>
              </w:rPr>
              <w:t>реестра сроков</w:t>
            </w:r>
            <w:r>
              <w:rPr>
                <w:b w:val="0"/>
                <w:i w:val="0"/>
                <w:sz w:val="22"/>
              </w:rPr>
              <w:t>: договоры и лицензии подрядчиков, паспорта отходов, удостоверения об обучении, декларация о воздействии (7 лет), НООЛР, программа ПЭК, договор с лабораторией.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Вход из этапа 26 (соединитель «4») — начало следующего отчётного периода.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Начальник ООТиПБ (эколог)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Ежемесячно / ежеквартально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Журналы, предписания, справка ГД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18.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Изменения в производстве?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 xml:space="preserve">Проверка в цикле — контрольная; основной механизм — по событию: ОГТ и СГИ </w:t>
            </w:r>
            <w:r>
              <w:rPr>
                <w:b/>
                <w:i w:val="0"/>
                <w:sz w:val="22"/>
              </w:rPr>
              <w:t>на стадии планирования, до внедрения</w:t>
            </w:r>
            <w:r>
              <w:rPr>
                <w:b w:val="0"/>
                <w:i w:val="0"/>
                <w:sz w:val="22"/>
              </w:rPr>
              <w:t xml:space="preserve"> уведомляют эколога о новом оборудовании, техпроцессе, материале, переезде или открытии площадки. Если изменения есть — этап 19; если нет — этап 20.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Начальник ООТиПБ (эколог)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-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-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19.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Управление изменениями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ОГТ/СГИ предоставляют данные по изменению; эколог оценивает влияние. Процесс возвращается к этапу 5 (соединитель «2»): повторная инвентаризация, актуализация сведений об объекте НВОС, нормативов, паспортов отходов, программы ПЭК.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ОГТ, СГИ / эколог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До ввода изменений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Актуализированные документы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20.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Расчёт платы за НВОС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 xml:space="preserve">Плата за выбросы и размещение отходов (ст. 16–16.5 7-ФЗ, ПП РФ № 255, № 913). Освобождение действует, только если </w:t>
            </w:r>
            <w:r>
              <w:rPr>
                <w:b/>
                <w:i w:val="0"/>
                <w:sz w:val="22"/>
              </w:rPr>
              <w:t>все</w:t>
            </w:r>
            <w:r>
              <w:rPr>
                <w:b w:val="0"/>
                <w:i w:val="0"/>
                <w:sz w:val="22"/>
              </w:rPr>
              <w:t xml:space="preserve"> объекты Общества относятся к IV категории (ст. 16.1 7-ФЗ). Плату за размещение ТКО вносит региональный оператор.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Начальник ООТиПБ (эколог)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По календарю (Прил. 1)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Расчёт платы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21.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Внесение платы за НВОС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авансовые платежи — до 20-го числа месяца, следующего за I, II, III кварталами (не вносятся субъектами МСП);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годовая плата — до 1 марта следующего года.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Бухгалтерия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По календарю (Прил. 1)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Платёжные поручения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22.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Подготовка обязательной отчётности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2-ТП (воздух), 2-ТП (отходы), 4-ОС, декларация о плате, отчёт ПЭК, отчётность РОП (при наличии обязанности), 2-ТП (водхоз) — при водопользовании.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Начальник ООТиПБ (эколог)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По календарю (Прил. 1)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Комплект отчётности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23.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Подписание отчётности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ГД подписывает отчётность (электронной подписью) либо выдаёт машиночитаемую доверенность (МЧД) ответственному лицу. Эколог направляет её через личный кабинет природопользователя и хранит квитанции о приёме.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Генеральный директор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 раб. день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Отчётность сдана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24.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Годовой доклад, проект плана и бюджета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Выполнение обязательств, результаты ПЭК, проверки и предписания, затраты, риски; проект плана природоохранных мероприятий и бюджета на следующий год (обучение, замеры, вывоз отходов, плата, разработка документации).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Начальник ООТиПБ (эколог)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До 15 апреля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Доклад, проект плана и бюджета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25.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Утверждение плана и бюджета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В случае неутверждения — доработка (этап 24).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Генеральный директор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5 раб. дней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Утверждённые план и бюджет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26.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Деятельность продолжается?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Если да — переход к этапу 17 (соединитель «4»), следующий отчётный период. Если эксплуатация объекта (площадки) прекращается — этап 27.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Генеральный директор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-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-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27.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Снятие объекта НВОС с государственного учёта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Заявление о снятии с учёта подаётся при прекращении эксплуатации объекта (ст. 69.2 7-ФЗ); плата за НВОС и отчётность — за фактический период эксплуатации.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Начальник ООТиПБ (эколог)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По факту прекращения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Объект снят с учёта. Конец процесса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28.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Подготовка документов, сопровождение проверки</w:t>
            </w:r>
            <w:r>
              <w:rPr>
                <w:b w:val="0"/>
                <w:i w:val="0"/>
                <w:sz w:val="22"/>
              </w:rPr>
              <w:t xml:space="preserve"> (процесс по событию)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При поступлении решения о проверке или запроса контрольного (надзорного) органа эколог в день поступления уведомляет ГД, готовит документы, сопровождает проверку.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Начальник ООТиПБ (эколог)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В срок, указанный в запросе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Акт проверки / ответ на запрос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29.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Утверждение плана устранения нарушений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При выдаче предписания — план мероприятий с ответственными и сроками.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Генеральный директор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3 раб. дня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Утверждённый план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30.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Устранение нарушений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ОГТ, СГИ, руководители подразделений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По плану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Нарушения устранены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31.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Отчёт об исполнении предписания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Направляется в контрольный (надзорный) орган с подтверждающими документами. Если устранение потребовало изменения техпроцесса или документов — запускается этап 19 (управление изменениями).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Начальник ООТиПБ (эколог)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В срок предписания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Предписание исполнено. Конец процесса</w:t>
            </w:r>
          </w:p>
        </w:tc>
      </w:tr>
    </w:tbl>
    <w:p>
      <w:r>
        <w:br w:type="page"/>
      </w:r>
    </w:p>
    <w:p>
      <w:pPr>
        <w:spacing w:after="0" w:before="0"/>
        <w:jc w:val="right"/>
      </w:pPr>
      <w:r>
        <w:rPr>
          <w:b w:val="0"/>
          <w:i w:val="0"/>
        </w:rPr>
        <w:t>Приложение 1</w:t>
      </w:r>
    </w:p>
    <w:p>
      <w:pPr>
        <w:spacing w:after="120" w:before="0"/>
        <w:jc w:val="center"/>
      </w:pPr>
      <w:r>
        <w:rPr>
          <w:b/>
          <w:i w:val="0"/>
        </w:rPr>
        <w:t>Календарь обязательной экологической отчётности и платежей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1474"/>
        <w:gridCol w:w="2494"/>
        <w:gridCol w:w="2494"/>
        <w:gridCol w:w="1587"/>
        <w:gridCol w:w="1587"/>
      </w:tblGrid>
      <w:tr>
        <w:trPr>
          <w:tblHeader w:val="true"/>
        </w:trPr>
        <w:tc>
          <w:tcPr>
            <w:tcW w:type="dxa" w:w="1474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2"/>
              </w:rPr>
              <w:t>Срок</w:t>
            </w:r>
          </w:p>
        </w:tc>
        <w:tc>
          <w:tcPr>
            <w:tcW w:type="dxa" w:w="2494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2"/>
              </w:rPr>
              <w:t>Документ / платёж</w:t>
            </w:r>
          </w:p>
        </w:tc>
        <w:tc>
          <w:tcPr>
            <w:tcW w:type="dxa" w:w="2494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2"/>
              </w:rPr>
              <w:t>Кто обязан</w:t>
            </w:r>
          </w:p>
        </w:tc>
        <w:tc>
          <w:tcPr>
            <w:tcW w:type="dxa" w:w="1587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2"/>
              </w:rPr>
              <w:t>Куда</w:t>
            </w:r>
          </w:p>
        </w:tc>
        <w:tc>
          <w:tcPr>
            <w:tcW w:type="dxa" w:w="1587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2"/>
              </w:rPr>
              <w:t>Основание</w:t>
            </w:r>
          </w:p>
        </w:tc>
      </w:tr>
      <w:tr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до 22 января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2-ТП (воздух)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При превышении пороговых значений выбросов, установленных указаниями Росстата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Росприроднадзор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96-ФЗ, форма Росстата</w:t>
            </w:r>
          </w:p>
        </w:tc>
      </w:tr>
      <w:tr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до 1 февраля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2-ТП (отходы)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Все, у кого образуются отходы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Росприроднадзор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форма — приказ Росстата от 06.11.2025 № 614</w:t>
            </w:r>
          </w:p>
        </w:tc>
      </w:tr>
      <w:tr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до 22 января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2-ТП (водхоз)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При заборе воды из водных объектов / сбросе в них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Росводресурсы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форма Росстата</w:t>
            </w:r>
          </w:p>
        </w:tc>
      </w:tr>
      <w:tr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до 25 января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4-ОС (текущие затраты на охрану окружающей среды)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При затратах на охрану окружающей среды или услугах природоохранного назначения более 100 тыс. руб. в год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Росстат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форма Росстата, действующая на отчётный период</w:t>
            </w:r>
          </w:p>
        </w:tc>
      </w:tr>
      <w:tr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до 1 ноября (ежегодно)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Декларация о составе и свойствах сточных вод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Абонент со среднесуточным сбросом от 30 м³/сут с объекта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Организация водопроводно-канализационного хозяйства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Правила № 644</w:t>
            </w:r>
          </w:p>
        </w:tc>
      </w:tr>
      <w:tr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до 1 марта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Годовая плата за НВОС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Объекты I–III категорий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Бюджет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ст. 16.4 7-ФЗ</w:t>
            </w:r>
          </w:p>
        </w:tc>
      </w:tr>
      <w:tr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до 10 марта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Декларация о плате за НВОС (за 2026 г. — по новой форме)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Объекты I–III категорий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Росприроднадзор / региональный орган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ст. 16.4 7-ФЗ, ПП № 255</w:t>
            </w:r>
          </w:p>
        </w:tc>
      </w:tr>
      <w:tr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до 25 марта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Отчёт об организации и о результатах ПЭК (для III категории включает сведения об образовании, утилизации, обезвреживании, размещении отходов)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Объекты I–III категорий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Росприроднадзор / региональный орган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ст. 67 7-ФЗ, приказ № 109; п. 5 ст. 18 89-ФЗ</w:t>
            </w:r>
          </w:p>
        </w:tc>
      </w:tr>
      <w:tr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апрель (сроки — по действующим постановлениям о РОП, сверять ежегодно)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Отчётность РОП о массе товаров и упаковки, о выполнении нормативов утилизации; экологический сбор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Производители товаров и упаковки (норматив утилизации упаковки 2026 — 75 %, с 2027 — 100 %)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Росприроднадзор / бюджет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ст. 24.2, 24.5 89-ФЗ</w:t>
            </w:r>
          </w:p>
        </w:tc>
      </w:tr>
      <w:tr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до 20 апреля,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20 июля,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20 октября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Квартальные авансовые платежи за НВОС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Объекты I–III категорий, кроме субъектов МСП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Бюджет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ст. 16.4 7-ФЗ</w:t>
            </w:r>
          </w:p>
        </w:tc>
      </w:tr>
      <w:tr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до последнего дня месяца, следующего за месяцем / кварталом / полугодием / годом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Обобщение данных учёта в области обращения с отходами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Все, у кого образуются отходы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Хранятся в Обществе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приказ № 227</w:t>
            </w:r>
          </w:p>
        </w:tc>
      </w:tr>
      <w:tr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до 01.12.2026 (однократно)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Заявление о корректировке сведений об объектах НВОС по новым критериям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Все объекты, поставленные на учёт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ЛК природопользователя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ПП РФ № 636</w:t>
            </w:r>
          </w:p>
        </w:tc>
      </w:tr>
      <w:tr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 раз в 7 лет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Декларация о воздействии на окружающую среду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Объекты II категории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Орган надзора по реестру НВОС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ст. 31.2 7-ФЗ</w:t>
            </w:r>
          </w:p>
        </w:tc>
      </w:tr>
    </w:tbl>
    <w:p>
      <w:r>
        <w:br w:type="page"/>
      </w:r>
    </w:p>
    <w:p>
      <w:pPr>
        <w:spacing w:after="0" w:before="0"/>
        <w:jc w:val="right"/>
      </w:pPr>
      <w:r>
        <w:rPr>
          <w:b w:val="0"/>
          <w:i w:val="0"/>
        </w:rPr>
        <w:t>Приложение 2</w:t>
      </w:r>
    </w:p>
    <w:p>
      <w:pPr>
        <w:spacing w:after="120" w:before="0"/>
        <w:jc w:val="center"/>
      </w:pPr>
      <w:r>
        <w:rPr>
          <w:b/>
          <w:i w:val="0"/>
        </w:rPr>
        <w:t>Ответственность за нарушение природоохранного законодательства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1814"/>
        <w:gridCol w:w="4876"/>
        <w:gridCol w:w="2948"/>
      </w:tblGrid>
      <w:tr>
        <w:trPr>
          <w:tblHeader w:val="true"/>
        </w:trPr>
        <w:tc>
          <w:tcPr>
            <w:tcW w:type="dxa" w:w="1814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2"/>
              </w:rPr>
              <w:t>Статья</w:t>
            </w:r>
          </w:p>
        </w:tc>
        <w:tc>
          <w:tcPr>
            <w:tcW w:type="dxa" w:w="4876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2"/>
              </w:rPr>
              <w:t>Нарушение</w:t>
            </w:r>
          </w:p>
        </w:tc>
        <w:tc>
          <w:tcPr>
            <w:tcW w:type="dxa" w:w="2948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2"/>
              </w:rPr>
              <w:t>Юридическое лицо</w:t>
            </w:r>
          </w:p>
        </w:tc>
      </w:tr>
      <w:tr>
        <w:tc>
          <w:tcPr>
            <w:tcW w:type="dxa" w:w="181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ст. 8.1 КоАП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Несоблюдение экологических требований при эксплуатации зданий, сооружений, объектов</w:t>
            </w:r>
          </w:p>
        </w:tc>
        <w:tc>
          <w:tcPr>
            <w:tcW w:type="dxa" w:w="294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20 000 – 100 000 руб.</w:t>
            </w:r>
          </w:p>
        </w:tc>
      </w:tr>
      <w:tr>
        <w:tc>
          <w:tcPr>
            <w:tcW w:type="dxa" w:w="181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ч. 1 ст. 8.2 КоАП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Несоблюдение требований в области обращения с отходами (накопление, паспортизация, учёт, передача)</w:t>
            </w:r>
          </w:p>
        </w:tc>
        <w:tc>
          <w:tcPr>
            <w:tcW w:type="dxa" w:w="294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100 000 – 250 000 руб. или приостановление деятельности до 90 суток</w:t>
            </w:r>
          </w:p>
        </w:tc>
      </w:tr>
      <w:tr>
        <w:tc>
          <w:tcPr>
            <w:tcW w:type="dxa" w:w="181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ст. 8.5 КоАП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Сокрытие, искажение или несвоевременное сообщение экологической информации (отчётность)</w:t>
            </w:r>
          </w:p>
        </w:tc>
        <w:tc>
          <w:tcPr>
            <w:tcW w:type="dxa" w:w="294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20 000 – 80 000 руб.</w:t>
            </w:r>
          </w:p>
        </w:tc>
      </w:tr>
      <w:tr>
        <w:tc>
          <w:tcPr>
            <w:tcW w:type="dxa" w:w="181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ст. 8.46 КоАП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Неподача (несвоевременная подача) заявки на постановку объекта НВОС на учёт, сведений для актуализации</w:t>
            </w:r>
          </w:p>
        </w:tc>
        <w:tc>
          <w:tcPr>
            <w:tcW w:type="dxa" w:w="294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30 000 – 100 000 руб.</w:t>
            </w:r>
          </w:p>
        </w:tc>
      </w:tr>
      <w:tr>
        <w:tc>
          <w:tcPr>
            <w:tcW w:type="dxa" w:w="181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ч. 1 ст. 13.19 КоАП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Непредставление форм статистической отчётности (2-ТП)</w:t>
            </w:r>
          </w:p>
        </w:tc>
        <w:tc>
          <w:tcPr>
            <w:tcW w:type="dxa" w:w="294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20 000 – 70 000 руб.; повторно — 100 000 – 150 000 руб.</w:t>
            </w:r>
          </w:p>
        </w:tc>
      </w:tr>
      <w:tr>
        <w:tc>
          <w:tcPr>
            <w:tcW w:type="dxa" w:w="181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ст. 8.5.1, 8.41.1 КоАП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Отчётность по РОП, неуплата экологического сбора (ред. ФЗ от 20.02.2026 № 31-ФЗ)</w:t>
            </w:r>
          </w:p>
        </w:tc>
        <w:tc>
          <w:tcPr>
            <w:tcW w:type="dxa" w:w="294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8.5.1 — 70 000 – 150 000 руб.; 8.41.1 — трёхкратный размер сбора, не менее 500 000 руб.</w:t>
            </w:r>
          </w:p>
        </w:tc>
      </w:tr>
      <w:tr>
        <w:tc>
          <w:tcPr>
            <w:tcW w:type="dxa" w:w="181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ч. 3 ст. 8.21 КоАП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Нарушение правил эксплуатации, неиспользование или использование неисправных ГОУ</w:t>
            </w:r>
          </w:p>
        </w:tc>
        <w:tc>
          <w:tcPr>
            <w:tcW w:type="dxa" w:w="294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Административный штраф (размер — по действующей редакции КоАП)</w:t>
            </w:r>
          </w:p>
        </w:tc>
      </w:tr>
      <w:tr>
        <w:tc>
          <w:tcPr>
            <w:tcW w:type="dxa" w:w="181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ст. 8.41 КоАП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Невнесение в установленные сроки платы за НВОС</w:t>
            </w:r>
          </w:p>
        </w:tc>
        <w:tc>
          <w:tcPr>
            <w:tcW w:type="dxa" w:w="294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50 000 – 100 000 руб.</w:t>
            </w:r>
          </w:p>
        </w:tc>
      </w:tr>
      <w:tr>
        <w:tc>
          <w:tcPr>
            <w:tcW w:type="dxa" w:w="181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ст. 19.7 КоАП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Непредставление сведений (информации) в госорган</w:t>
            </w:r>
          </w:p>
        </w:tc>
        <w:tc>
          <w:tcPr>
            <w:tcW w:type="dxa" w:w="294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3 000 – 5 000 руб.</w:t>
            </w:r>
          </w:p>
        </w:tc>
      </w:tr>
      <w:tr>
        <w:tc>
          <w:tcPr>
            <w:tcW w:type="dxa" w:w="181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ст. 77 7-ФЗ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Причинение вреда окружающей среде</w:t>
            </w:r>
          </w:p>
        </w:tc>
        <w:tc>
          <w:tcPr>
            <w:tcW w:type="dxa" w:w="294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Возмещение вреда в полном объёме</w:t>
            </w:r>
          </w:p>
        </w:tc>
      </w:tr>
      <w:tr>
        <w:tc>
          <w:tcPr>
            <w:tcW w:type="dxa" w:w="181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ст. 247, 251 УК РФ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Нарушение правил обращения с опасными отходами; загрязнение атмосферы</w:t>
            </w:r>
          </w:p>
        </w:tc>
        <w:tc>
          <w:tcPr>
            <w:tcW w:type="dxa" w:w="294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Уголовная ответственность должностных лиц</w:t>
            </w:r>
          </w:p>
        </w:tc>
      </w:tr>
    </w:tbl>
    <w:p>
      <w:pPr>
        <w:spacing w:after="0" w:before="120"/>
        <w:ind w:firstLine="709"/>
        <w:jc w:val="both"/>
      </w:pPr>
      <w:r>
        <w:rPr>
          <w:b w:val="0"/>
          <w:i w:val="0"/>
          <w:sz w:val="26"/>
        </w:rPr>
        <w:t>Должностные лица (ГД и назначенные ответственные) несут самостоятельную административную ответственность по тем же статьям. Штрафы на юридическое лицо и на должностное лицо назначаются одновременно. Размеры указаны по редакции КоАП на дату документа; при изменениях КоАП приложение актуализируется.</w:t>
      </w:r>
    </w:p>
    <w:p>
      <w:pPr>
        <w:spacing w:after="0" w:before="360"/>
        <w:jc w:val="right"/>
      </w:pPr>
      <w:r>
        <w:rPr>
          <w:b w:val="0"/>
          <w:i w:val="0"/>
        </w:rPr>
        <w:t>Приложение 3</w:t>
      </w:r>
    </w:p>
    <w:p>
      <w:pPr>
        <w:spacing w:after="120" w:before="0"/>
        <w:jc w:val="center"/>
      </w:pPr>
      <w:r>
        <w:rPr>
          <w:b/>
          <w:i w:val="0"/>
        </w:rPr>
        <w:t>Решения и документы, требующие участия генерального директора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567"/>
        <w:gridCol w:w="5669"/>
        <w:gridCol w:w="1020"/>
        <w:gridCol w:w="2381"/>
      </w:tblGrid>
      <w:tr>
        <w:trPr>
          <w:tblHeader w:val="true"/>
        </w:trPr>
        <w:tc>
          <w:tcPr>
            <w:tcW w:type="dxa" w:w="567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2"/>
              </w:rPr>
              <w:t>№</w:t>
            </w:r>
          </w:p>
        </w:tc>
        <w:tc>
          <w:tcPr>
            <w:tcW w:type="dxa" w:w="5669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2"/>
              </w:rPr>
              <w:t>Документ / решение</w:t>
            </w:r>
          </w:p>
        </w:tc>
        <w:tc>
          <w:tcPr>
            <w:tcW w:type="dxa" w:w="1020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2"/>
              </w:rPr>
              <w:t>Этап</w:t>
            </w:r>
          </w:p>
        </w:tc>
        <w:tc>
          <w:tcPr>
            <w:tcW w:type="dxa" w:w="2381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2"/>
              </w:rPr>
              <w:t>Периодичность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</w:t>
            </w:r>
          </w:p>
        </w:tc>
        <w:tc>
          <w:tcPr>
            <w:tcW w:type="dxa" w:w="5669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Приказ о назначении ответственных за экологическую безопасность, ПЭК, обращение с отходами, эксплуатацию ГОУ</w:t>
            </w:r>
          </w:p>
        </w:tc>
        <w:tc>
          <w:tcPr>
            <w:tcW w:type="dxa" w:w="1020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2</w:t>
            </w:r>
          </w:p>
        </w:tc>
        <w:tc>
          <w:tcPr>
            <w:tcW w:type="dxa" w:w="2381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Однократно, при изменениях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2</w:t>
            </w:r>
          </w:p>
        </w:tc>
        <w:tc>
          <w:tcPr>
            <w:tcW w:type="dxa" w:w="5669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Направление ответственных на обучение (ст. 73 7-ФЗ, ст. 15 89-ФЗ)</w:t>
            </w:r>
          </w:p>
        </w:tc>
        <w:tc>
          <w:tcPr>
            <w:tcW w:type="dxa" w:w="1020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3</w:t>
            </w:r>
          </w:p>
        </w:tc>
        <w:tc>
          <w:tcPr>
            <w:tcW w:type="dxa" w:w="2381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При назначении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3</w:t>
            </w:r>
          </w:p>
        </w:tc>
        <w:tc>
          <w:tcPr>
            <w:tcW w:type="dxa" w:w="5669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Подписание декларации о воздействии на окружающую среду (II категория)</w:t>
            </w:r>
          </w:p>
        </w:tc>
        <w:tc>
          <w:tcPr>
            <w:tcW w:type="dxa" w:w="1020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9</w:t>
            </w:r>
          </w:p>
        </w:tc>
        <w:tc>
          <w:tcPr>
            <w:tcW w:type="dxa" w:w="2381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 раз в 7 лет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4</w:t>
            </w:r>
          </w:p>
        </w:tc>
        <w:tc>
          <w:tcPr>
            <w:tcW w:type="dxa" w:w="5669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Утверждение паспортов отходов I–IV классов</w:t>
            </w:r>
          </w:p>
        </w:tc>
        <w:tc>
          <w:tcPr>
            <w:tcW w:type="dxa" w:w="1020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13</w:t>
            </w:r>
          </w:p>
        </w:tc>
        <w:tc>
          <w:tcPr>
            <w:tcW w:type="dxa" w:w="2381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При появлении нового вида отходов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5</w:t>
            </w:r>
          </w:p>
        </w:tc>
        <w:tc>
          <w:tcPr>
            <w:tcW w:type="dxa" w:w="5669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Договоры с региональным оператором, ФЭО, лицензиатами, аккредитованной лабораторией</w:t>
            </w:r>
          </w:p>
        </w:tc>
        <w:tc>
          <w:tcPr>
            <w:tcW w:type="dxa" w:w="1020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13</w:t>
            </w:r>
          </w:p>
        </w:tc>
        <w:tc>
          <w:tcPr>
            <w:tcW w:type="dxa" w:w="2381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Ежегодно / по сроку договора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6</w:t>
            </w:r>
          </w:p>
        </w:tc>
        <w:tc>
          <w:tcPr>
            <w:tcW w:type="dxa" w:w="5669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Утверждение программы ПЭК</w:t>
            </w:r>
          </w:p>
        </w:tc>
        <w:tc>
          <w:tcPr>
            <w:tcW w:type="dxa" w:w="1020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15</w:t>
            </w:r>
          </w:p>
        </w:tc>
        <w:tc>
          <w:tcPr>
            <w:tcW w:type="dxa" w:w="2381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При изменениях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7</w:t>
            </w:r>
          </w:p>
        </w:tc>
        <w:tc>
          <w:tcPr>
            <w:tcW w:type="dxa" w:w="5669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Подписание декларации о плате и отчётности</w:t>
            </w:r>
          </w:p>
        </w:tc>
        <w:tc>
          <w:tcPr>
            <w:tcW w:type="dxa" w:w="1020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23</w:t>
            </w:r>
          </w:p>
        </w:tc>
        <w:tc>
          <w:tcPr>
            <w:tcW w:type="dxa" w:w="2381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Ежегодно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8</w:t>
            </w:r>
          </w:p>
        </w:tc>
        <w:tc>
          <w:tcPr>
            <w:tcW w:type="dxa" w:w="5669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Утверждение плана природоохранных мероприятий и бюджета</w:t>
            </w:r>
          </w:p>
        </w:tc>
        <w:tc>
          <w:tcPr>
            <w:tcW w:type="dxa" w:w="1020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25, 26</w:t>
            </w:r>
          </w:p>
        </w:tc>
        <w:tc>
          <w:tcPr>
            <w:tcW w:type="dxa" w:w="2381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Ежегодно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9</w:t>
            </w:r>
          </w:p>
        </w:tc>
        <w:tc>
          <w:tcPr>
            <w:tcW w:type="dxa" w:w="5669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Утверждение плана устранения нарушений по предписаниям</w:t>
            </w:r>
          </w:p>
        </w:tc>
        <w:tc>
          <w:tcPr>
            <w:tcW w:type="dxa" w:w="1020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29</w:t>
            </w:r>
          </w:p>
        </w:tc>
        <w:tc>
          <w:tcPr>
            <w:tcW w:type="dxa" w:w="2381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По событию</w:t>
            </w:r>
          </w:p>
        </w:tc>
      </w:tr>
    </w:tbl>
    <w:p>
      <w:pPr>
        <w:spacing w:after="0" w:before="480"/>
        <w:jc w:val="left"/>
      </w:pPr>
      <w:r>
        <w:rPr>
          <w:b w:val="0"/>
          <w:i w:val="0"/>
        </w:rPr>
        <w:t>Начальник отдела ОТ и ПБ                _______________ / _______________ /</w:t>
      </w:r>
    </w:p>
    <w:p>
      <w:pPr>
        <w:spacing w:after="0" w:before="120"/>
        <w:jc w:val="left"/>
      </w:pPr>
      <w:r>
        <w:rPr>
          <w:b w:val="0"/>
          <w:i w:val="0"/>
        </w:rPr>
        <w:t>«____» _______________ 2026 г.</w:t>
      </w:r>
    </w:p>
    <w:sectPr w:rsidR="00FC693F" w:rsidRPr="0006063C" w:rsidSect="00034616"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