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right"/>
      </w:pPr>
      <w:r>
        <w:rPr>
          <w:b/>
          <w:i w:val="0"/>
        </w:rPr>
        <w:t>УТВЕРЖДАЮ</w:t>
      </w:r>
    </w:p>
    <w:p>
      <w:pPr>
        <w:spacing w:after="0" w:before="0"/>
        <w:jc w:val="right"/>
      </w:pPr>
      <w:r>
        <w:rPr>
          <w:b w:val="0"/>
          <w:i w:val="0"/>
        </w:rPr>
        <w:t>Генеральный директор</w:t>
      </w:r>
    </w:p>
    <w:p>
      <w:pPr>
        <w:spacing w:after="0" w:before="0"/>
        <w:jc w:val="right"/>
      </w:pPr>
      <w:r>
        <w:rPr>
          <w:b w:val="0"/>
          <w:i w:val="0"/>
        </w:rPr>
        <w:t>ООО «Авиационные Интерьеры-СН»</w:t>
      </w:r>
    </w:p>
    <w:p>
      <w:pPr>
        <w:spacing w:after="0" w:before="0"/>
        <w:jc w:val="right"/>
      </w:pPr>
      <w:r>
        <w:rPr>
          <w:b w:val="0"/>
          <w:i w:val="0"/>
        </w:rPr>
        <w:t>_______________ / _______________ /</w:t>
      </w:r>
    </w:p>
    <w:p>
      <w:pPr>
        <w:spacing w:after="360" w:before="0"/>
        <w:jc w:val="right"/>
      </w:pPr>
      <w:r>
        <w:rPr>
          <w:b w:val="0"/>
          <w:i w:val="0"/>
        </w:rPr>
        <w:t>«____» _______________ 2026 г.</w:t>
      </w:r>
    </w:p>
    <w:p>
      <w:pPr>
        <w:spacing w:after="0" w:before="0"/>
        <w:jc w:val="center"/>
      </w:pPr>
      <w:r>
        <w:rPr>
          <w:b/>
          <w:i w:val="0"/>
          <w:sz w:val="32"/>
        </w:rPr>
        <w:t>БИЗНЕС-ПРОЦЕСС</w:t>
      </w:r>
    </w:p>
    <w:p>
      <w:pPr>
        <w:spacing w:after="0" w:before="0"/>
        <w:jc w:val="center"/>
      </w:pPr>
      <w:r>
        <w:rPr>
          <w:b/>
          <w:i w:val="0"/>
        </w:rPr>
        <w:t>«Экологическое сопровождение деятельности предприятия»</w:t>
      </w:r>
    </w:p>
    <w:p>
      <w:pPr>
        <w:spacing w:after="240" w:before="0"/>
        <w:jc w:val="center"/>
      </w:pPr>
      <w:r>
        <w:rPr>
          <w:b w:val="0"/>
          <w:i w:val="0"/>
        </w:rPr>
        <w:t>(обеспечение соблюдения требований природоохранного законодательства РФ)</w:t>
      </w:r>
    </w:p>
    <w:p>
      <w:pPr>
        <w:keepNext/>
        <w:spacing w:after="80" w:before="200"/>
        <w:jc w:val="left"/>
      </w:pPr>
      <w:r>
        <w:rPr>
          <w:b/>
          <w:i w:val="0"/>
        </w:rPr>
        <w:t>1. Цель и область применения</w:t>
      </w:r>
    </w:p>
    <w:p>
      <w:pPr>
        <w:spacing w:after="0" w:before="0"/>
        <w:ind w:firstLine="709"/>
        <w:jc w:val="both"/>
      </w:pPr>
      <w:r>
        <w:rPr>
          <w:b/>
          <w:i w:val="0"/>
        </w:rPr>
        <w:t>Цель:</w:t>
      </w:r>
      <w:r>
        <w:rPr>
          <w:b w:val="0"/>
          <w:i w:val="0"/>
        </w:rPr>
        <w:t xml:space="preserve"> обеспечить выполнение обязательных требований законодательства РФ в области охраны окружающей среды, исключить административную и уголовную ответственность Общества и должностных лиц, исключить приостановление деятельности.</w:t>
      </w:r>
    </w:p>
    <w:p>
      <w:pPr>
        <w:spacing w:after="0" w:before="0"/>
        <w:ind w:firstLine="709"/>
        <w:jc w:val="both"/>
      </w:pPr>
      <w:r>
        <w:rPr>
          <w:b/>
          <w:i w:val="0"/>
        </w:rPr>
        <w:t>Область применения:</w:t>
      </w:r>
      <w:r>
        <w:rPr>
          <w:b w:val="0"/>
          <w:i w:val="0"/>
        </w:rPr>
        <w:t xml:space="preserve"> все производственные площадки и обособленные подразделения Общества, на которых осуществляется хозяйственная деятельность, оказывающая негативное воздействие на окружающую среду (далее — НВОС): Технопарк «Руднево» (Руднево-16, Руднево-7), площадка «Машково», обособленное подразделение в аэропорту Внуково.</w:t>
      </w:r>
    </w:p>
    <w:p>
      <w:pPr>
        <w:spacing w:after="0" w:before="0"/>
        <w:ind w:firstLine="709"/>
        <w:jc w:val="both"/>
      </w:pPr>
      <w:r>
        <w:rPr>
          <w:b/>
          <w:i w:val="0"/>
        </w:rPr>
        <w:t>Источники НВОС, характерные для производства авиационных интерьеров:</w:t>
      </w:r>
    </w:p>
    <w:p>
      <w:pPr>
        <w:ind w:left="425" w:hanging="283"/>
        <w:jc w:val="both"/>
      </w:pPr>
      <w:r>
        <w:rPr>
          <w:b w:val="0"/>
          <w:i w:val="0"/>
        </w:rPr>
        <w:t>– выбросы в атмосферу: окрасочные камеры (растворители ЛКМ — ксилол, толуол, бутилацетат); участки формования и склейки композитов (эпоксидные/фенольные смолы, препреги; возможно выделение формальдегида, фенола, стирола — вещества I–II класса опасности); механическая обработка и раскрой композитов, сотопанелей (пыль стеклопластика, углепластика); лазерная резка, сварка (сварочный аэрозоль, оксиды металлов);</w:t>
      </w:r>
    </w:p>
    <w:p>
      <w:pPr>
        <w:ind w:left="425" w:hanging="283"/>
        <w:jc w:val="both"/>
      </w:pPr>
      <w:r>
        <w:rPr>
          <w:b w:val="0"/>
          <w:i w:val="0"/>
        </w:rPr>
        <w:t>– отходы: обрезь препрегов, стекло- и углепластика, сотопанелей; остатки и тара ЛКМ, клеев, смол, растворителей; отработанные фильтры окрасочных камер и аспирации; обтирочный материал, загрязнённый ЛКМ и маслами; отработанные масла и СОЖ; лом металлов; текстиль, кожа, поролон (обивочные материалы); ртутные лампы, аккумуляторы, оргтехника; ТКО;</w:t>
      </w:r>
    </w:p>
    <w:p>
      <w:pPr>
        <w:ind w:left="425" w:hanging="283"/>
        <w:jc w:val="both"/>
      </w:pPr>
      <w:r>
        <w:rPr>
          <w:b w:val="0"/>
          <w:i w:val="0"/>
        </w:rPr>
        <w:t>– сточные воды: как правило, сброс в централизованную систему водоотведения через арендодателя (уточняется по договорам аренды).</w:t>
      </w:r>
    </w:p>
    <w:p>
      <w:pPr>
        <w:keepNext/>
        <w:spacing w:after="80" w:before="200"/>
        <w:jc w:val="left"/>
      </w:pPr>
      <w:r>
        <w:rPr>
          <w:b/>
          <w:i w:val="0"/>
        </w:rPr>
        <w:t>2. Нормативная база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Федеральный закон от 10.01.2002 № 7-ФЗ «Об охране окружающей среды» (ст. 16–16.5, 22, 31.2, 67, 69.2, 73);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Федеральный закон от 24.06.1998 № 89-ФЗ «Об отходах производства и потребления» (ст. 4, 9, 11, 14, 14.2–14.4, 15, 18, 19, 24.2, 24.5, 24.7);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Федеральный закон от 04.05.1999 № 96-ФЗ «Об охране атмосферного воздуха» (ст. 22, 25, 30);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Постановление Правительства РФ от 31.12.2020 № 2398 (критерии отнесения объектов к I–IV категориям НВОС);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Постановление Правительства РФ от 03.03.2017 № 255 (исчисление и взимание платы за НВОС); постановление Правительства РФ от 13.09.2016 № 913 (ставки платы);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Постановление Правительства РФ от 03.03.2018 № 222 (санитарно-защитные зоны);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Приказ Минприроды России от 19.11.2021 № 871 (инвентаризация стационарных источников и выбросов);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Приказ Минприроды России от 11.08.2020 № 581 (методика расчёта нормативов допустимых выбросов);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Приказ Минприроды России от 18.02.2022 № 109 (программа и отчёт производственного экологического контроля);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Приказ Минприроды России от 08.12.2020 № 1026 (паспортизация отходов I–IV классов опасности);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Приказ Минприроды России от 08.12.2020 № 1028 (учёт в области обращения с отходами);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Приказ Минприроды России от 04.12.2014 № 536 (критерии отнесения отходов к классам опасности);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Приказ Росприроднадзора от 22.05.2017 № 242 (Федеральный классификационный каталог отходов, ФККО);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Приказ Минприроды России от 15.09.2017 № 498 (правила эксплуатации газоочистных и пылеулавливающих установок, ГОУ);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СанПиН 2.1.3684-21 (требования к местам накопления отходов);</w:t>
      </w:r>
    </w:p>
    <w:p>
      <w:pPr>
        <w:ind w:left="425" w:hanging="283"/>
        <w:jc w:val="both"/>
      </w:pPr>
      <w:r>
        <w:rPr>
          <w:b w:val="0"/>
          <w:i w:val="0"/>
          <w:sz w:val="26"/>
        </w:rPr>
        <w:t>– Кодекс РФ об административных правонарушениях (гл. 8), Уголовный кодекс РФ (гл. 26).</w:t>
      </w:r>
    </w:p>
    <w:p>
      <w:pPr>
        <w:keepNext/>
        <w:spacing w:after="80" w:before="200"/>
        <w:jc w:val="left"/>
      </w:pPr>
      <w:r>
        <w:rPr>
          <w:b/>
          <w:i w:val="0"/>
        </w:rPr>
        <w:t>3. Участники процесса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18"/>
        <w:gridCol w:w="6520"/>
      </w:tblGrid>
      <w:tr>
        <w:trPr>
          <w:tblHeader w:val="true"/>
        </w:trPr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Участник</w:t>
            </w:r>
          </w:p>
        </w:tc>
        <w:tc>
          <w:tcPr>
            <w:tcW w:type="dxa" w:w="652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Роль в процессе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Генеральный директор (ГД)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Утверждает приказы, программу ПЭК, декларации; подписывает договоры с операторами по отходам и лабораторией; утверждает план природоохранных мероприятий и бюджет; несёт ответственность как руководитель юридического лица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/ инженер-эколог (далее — эколог)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Владелец процесса. Организует и контролирует все этапы, готовит документы и отчётность, взаимодействует с Росприроднадзором и региональными органами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ОГТ (отдел главного технолога)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Предоставляет данные о техпроцессах, материалах, расходе ЛКМ/клеев/смол; уведомляет эколога о любых изменениях техпроцессов до их внедрения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СГИ (служба главного инженера)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Эксплуатация ГОУ (окрасочные камеры, вентиляция, аспирация), оборудование мест накопления отходов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Руководители подразделений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Раздельное накопление отходов на участках, передача данных для учёта, исполнение предписаний эколога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Отдел закупок / юридическая служба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Заключение договоров с лицензированными организациями, проверка лицензий и аккредитаций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Бухгалтерия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Внесение платы за НВОС и авансовых платежей, оплата услуг подрядчиков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Отдел управления персоналом (ОУП)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Организация обучения ответственных лиц, учёт документов о квалификации</w:t>
            </w:r>
          </w:p>
        </w:tc>
      </w:tr>
    </w:tbl>
    <w:p>
      <w:pPr>
        <w:keepNext/>
        <w:spacing w:after="80" w:before="200"/>
        <w:jc w:val="left"/>
      </w:pPr>
      <w:r>
        <w:rPr>
          <w:b/>
          <w:i w:val="0"/>
        </w:rPr>
        <w:t>4. Исходные условия, требующие подтверждения на старте процесса</w:t>
      </w:r>
    </w:p>
    <w:p>
      <w:pPr>
        <w:ind w:left="425" w:hanging="283"/>
        <w:jc w:val="both"/>
      </w:pPr>
      <w:r>
        <w:rPr>
          <w:b w:val="0"/>
          <w:i w:val="0"/>
        </w:rPr>
        <w:t>– категория объекта НВОС по каждой площадке (II, III или IV) — определяет объём документов и отчётности (ветвление на этапе 8);</w:t>
      </w:r>
    </w:p>
    <w:p>
      <w:pPr>
        <w:ind w:left="425" w:hanging="283"/>
        <w:jc w:val="both"/>
      </w:pPr>
      <w:r>
        <w:rPr>
          <w:b w:val="0"/>
          <w:i w:val="0"/>
        </w:rPr>
        <w:t xml:space="preserve">– распределение обязанностей с арендодателями (АО «ОЭЗ «Технополис Москва» и др.) по отходам, водоотведению, вентвыбросам. </w:t>
      </w:r>
      <w:r>
        <w:rPr>
          <w:b/>
          <w:i w:val="0"/>
        </w:rPr>
        <w:t>Собственником отходов является Общество</w:t>
      </w:r>
      <w:r>
        <w:rPr>
          <w:b w:val="0"/>
          <w:i w:val="0"/>
        </w:rPr>
        <w:t xml:space="preserve"> как собственник сырья и материалов, в результате использования которых отходы образовались (ст. 4 89-ФЗ), — передача функций арендодателю по договору не снимает с Общества обязанностей по учёту, паспортизации и отчётности;</w:t>
      </w:r>
    </w:p>
    <w:p>
      <w:pPr>
        <w:ind w:left="425" w:hanging="283"/>
        <w:jc w:val="both"/>
      </w:pPr>
      <w:r>
        <w:rPr>
          <w:b w:val="0"/>
          <w:i w:val="0"/>
        </w:rPr>
        <w:t>– статус Общества как субъекта МСП (при численности более 250 человек Общество не является МСП и обязано вносить квартальные авансовые платежи за НВОС).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650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0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6500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0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650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m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0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before="0"/>
        <w:jc w:val="center"/>
      </w:pPr>
      <w:r>
        <w:rPr>
          <w:b/>
          <w:i w:val="0"/>
        </w:rPr>
        <w:t>Описание блок-схемы бизнес-процесса «Экологическое сопровождение деятельности»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67"/>
        <w:gridCol w:w="4876"/>
        <w:gridCol w:w="1474"/>
        <w:gridCol w:w="1247"/>
        <w:gridCol w:w="1928"/>
      </w:tblGrid>
      <w:tr>
        <w:trPr>
          <w:tblHeader w:val="true"/>
        </w:trPr>
        <w:tc>
          <w:tcPr>
            <w:tcW w:type="dxa" w:w="56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4876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Краткое описание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Отв.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Срок</w:t>
            </w:r>
          </w:p>
        </w:tc>
        <w:tc>
          <w:tcPr>
            <w:tcW w:type="dxa" w:w="192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Результат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Подготовка проекта приказа о назначении ответственных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Эколог готовит проект приказа о назначении ответственных: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за обеспечение экологической безопасности в целом;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за производственный экологический контроль (ПЭК);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за обращение с отходами (по каждой площадке);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за эксплуатацию ГОУ (приказ Минприроды № 498).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5 раб. дней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Проект приказа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Подписание приказа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ГД рассматривает и подписывает приказ. В случае несогласия проект возвращается на доработку (этап 1). Приказ актуализируется при кадровых изменениях.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Генеральный директор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 раб. дня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Подписанный приказ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3.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Обучение ответственных лиц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руководители и специалисты, принимающие решения по деятельности, оказывающей НВОС, — подготовка в области охраны окружающей среды и экологической безопасности (ст. 73 7-ФЗ);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лица, допущенные к обращению с отходами I–IV классов, — профессиональная подготовка (ст. 15 89-ФЗ).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ОУП организует обучение в образовательной организации с лицензией.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ОУП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 допуска к работе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Удостоверения, свидетельства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4.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Сбор исходных данных по каждой площадке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техпроцессы и оборудование (окрасочные камеры, участки композитов, раскрой, ЧПУ, лазерная резка, сварка);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перечень и годовой расход материалов (ЛКМ, клеи, смолы, препреги, растворители) с паспортами безопасности;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вентиляционные системы (схемы, паспорта);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договоры аренды: кто обеспечивает вывоз отходов, водоотведение;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перечень образующихся отходов по участкам.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Данные передаются экологу.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ОГТ, СГИ, руководители подразделений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20 раб. дней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Реестр исходных данных по площадкам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5.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Инвентаризация стационарных источников и выбросов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По приказу Минприроды № 871 (своими силами или подрядчиком): источники, перечень загрязняющих веществ, классы опасности, массы выбросов.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Повторяется при изменении техпроцессов, оборудования, сырья (вход из этапа 19, соединитель «2»).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 / подрядчик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1–2 мес.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Отчёт об инвентаризации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6.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Определение категории объекта НВОС и постановка на государственный учёт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Категория (I–IV) — по критериям ПП РФ № 2398. Заявка — через личный кабинет природопользователя Росприроднадзора. Каждая площадка с самостоятельным производством — отдельный объект НВОС.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Срок — не позднее 6 месяцев со дня начала эксплуатации (ст. 69.2 7-ФЗ). При изменении сведений — актуализация.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Надзор: II категория — Росприроднадзор; III категория — региональный орган (для г. Москвы — Департамент природопользования и охраны окружающей среды).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 мес.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Свидетельство о постановке на учёт (код, категория)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7.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Нормирование по категории объекта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 xml:space="preserve">- </w:t>
            </w:r>
            <w:r>
              <w:rPr>
                <w:b/>
                <w:i w:val="0"/>
                <w:sz w:val="22"/>
              </w:rPr>
              <w:t>II категория:</w:t>
            </w:r>
            <w:r>
              <w:rPr>
                <w:b w:val="0"/>
                <w:i w:val="0"/>
                <w:sz w:val="22"/>
              </w:rPr>
              <w:t xml:space="preserve"> нормативы допустимых выбросов (НДВ, приказ № 581), нормативы образования отходов и лимиты на их размещение (НООЛР, ст. 18 89-ФЗ), декларация о воздействии на окружающую среду (ст. 31.2 7-ФЗ);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 xml:space="preserve">- </w:t>
            </w:r>
            <w:r>
              <w:rPr>
                <w:b/>
                <w:i w:val="0"/>
                <w:sz w:val="22"/>
              </w:rPr>
              <w:t>III категория:</w:t>
            </w:r>
            <w:r>
              <w:rPr>
                <w:b w:val="0"/>
                <w:i w:val="0"/>
                <w:sz w:val="22"/>
              </w:rPr>
              <w:t xml:space="preserve"> НДВ только для веществ I–II класса опасности, обладающих канцерогенными, мутагенными свойствами, при их наличии в выбросах (ст. 22 96-ФЗ). Для композитного производства проверить формальдегид, фенол, стирол, эпихлоргидрин;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 xml:space="preserve">- </w:t>
            </w:r>
            <w:r>
              <w:rPr>
                <w:b/>
                <w:i w:val="0"/>
                <w:sz w:val="22"/>
              </w:rPr>
              <w:t>IV категория:</w:t>
            </w:r>
            <w:r>
              <w:rPr>
                <w:b w:val="0"/>
                <w:i w:val="0"/>
                <w:sz w:val="22"/>
              </w:rPr>
              <w:t xml:space="preserve"> нормирование выбросов не требуется.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Дополнительно: наличие санитарно-защитной зоны (ПП РФ № 222) — для площадок в технопарках запрашивается у арендодателя.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 / подрядчик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2–4 мес.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Расчёты нормативов, проект декларации (II кат.)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8.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Объект II категории?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Если да — декларация о воздействии передаётся на подпись ГД (этап 9). Если нет — переход к этапу 10.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-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9.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Подписание декларации о воздействии на окружающую среду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Декларация подаётся в Росприроднадзор на 7 лет (ст. 31.2 7-ФЗ). Повторная подача — при изменении технологических процессов и объёмов выбросов.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Генеральный директор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 раб. дня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Декларация подана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10.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Паспортизация и учёт отходов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отнесение каждого вида отходов к коду ФККО (приказ № 242);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проекты паспортов отходов I–IV классов опасности (приказ № 1026);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для отходов, отсутствующих в ФККО, — подтверждение класса опасности (приказ № 536, при необходимости — биотестирование);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учёт в области обращения с отходами по каждому подразделению (приказ № 1028): данные — ежеквартально, обобщённые — за год.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 мес.; учёт — постоянно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Проекты паспортов, таблицы учёта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11.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Оборудование мест (площадок) накопления отходов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раздельное накопление по видам и классам опасности;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твёрдое покрытие, защита от осадков, маркировка ёмкостей;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ртутные лампы, аккумуляторы — в отдельной закрытой таре;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требования СанПиН 2.1.3684-21;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 xml:space="preserve">- срок накопления — </w:t>
            </w:r>
            <w:r>
              <w:rPr>
                <w:b/>
                <w:i w:val="0"/>
                <w:sz w:val="22"/>
              </w:rPr>
              <w:t>не более 11 месяцев</w:t>
            </w:r>
            <w:r>
              <w:rPr>
                <w:b w:val="0"/>
                <w:i w:val="0"/>
                <w:sz w:val="22"/>
              </w:rPr>
              <w:t xml:space="preserve"> (ст. 1 89-ФЗ).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Схема мест накопления согласуется с арендодателем.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ОГТ, СГИ, руководители подразделений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 мес.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Оборудованные места накопления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12.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Подготовка договоров на передачу отходов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ТКО — только региональному оператору (ст. 24.7 89-ФЗ);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отходы I–II классов (в т.ч. ртутные лампы) — федеральному оператору через ФГИС ОПВК (ст. 14.2–14.4 89-ФЗ);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отходы III–IV классов — организациям с лицензией (ст. 9 89-ФЗ); эколог проверяет наличие в лицензии кодов ФККО и видов работ;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лом металлов — организациям с лицензией на заготовку лома;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договор с аккредитованной лабораторией для замеров по программе ПЭК.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Закупки, юридическая служба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 мес.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Проекты договоров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13.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Подписание договоров, утверждение паспортов отходов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ГД подписывает договоры и утверждает паспорта отходов. Сохраняются акты приёма-передачи и документы о транспортировании отходов.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Генеральный директор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3 раб. дня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Действующие договоры, утверждённые паспорта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14.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Разработка программы ПЭК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Обязательна для объектов I–III категорий (ст. 67 7-ФЗ). Содержание — по приказу № 109: инвентаризационные данные, план-график контроля выбросов, контроль обращения с отходами, контроль работы ГОУ.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 мес.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Проект программы ПЭК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15.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Утверждение программы ПЭК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В случае неутверждения программа возвращается на доработку (этап 14).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Генеральный директор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 раб. дня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Утверждённая программа ПЭК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16.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Эксплуатация газоочистных и пылеулавливающих установок (ГОУ)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Фильтры окрасочных камер, аспирация участков обработки композитов. По приказу № 498: паспорт ГОУ, журнал учёта работы, замена фильтров по регламенту, проверка эффективности. Работа оборудования при неработающей ГОУ не допускается.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ОГТ, СГИ, руководители подразделений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Постоянно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Паспорта и журналы ГОУ, акты проверки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17.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Текущий контроль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ежемесячно: сбор данных учёта отходов, контроль вывоза и сроков накопления;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по графику ПЭК: замеры выбросов, контроль ГОУ;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ежеквартально: обход площадок, предписания руководителям подразделений, справка ГД.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Вход из этапа 26 (соединитель «4») — начало следующего отчётного периода.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Ежемесячно / ежеквартально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Журналы, предписания, справка ГД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18.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Изменения в производстве?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 xml:space="preserve">ОГТ и СГИ </w:t>
            </w:r>
            <w:r>
              <w:rPr>
                <w:b/>
                <w:i w:val="0"/>
                <w:sz w:val="22"/>
              </w:rPr>
              <w:t>до внедрения</w:t>
            </w:r>
            <w:r>
              <w:rPr>
                <w:b w:val="0"/>
                <w:i w:val="0"/>
                <w:sz w:val="22"/>
              </w:rPr>
              <w:t xml:space="preserve"> уведомляют эколога о новом оборудовании, техпроцессе, материале, переезде или открытии площадки. Если изменения есть — этап 19; если нет — этап 20.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-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19.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Управление изменениями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ОГТ/СГИ предоставляют данные по изменению; эколог оценивает влияние. Процесс возвращается к этапу 5 (соединитель «2»): повторная инвентаризация, актуализация сведений об объекте НВОС, нормативов, паспортов отходов, программы ПЭК.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ОГТ, СГИ / эколог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 ввода изменений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Актуализированные документы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20.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Расчёт платы за НВОС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Плата за выбросы и размещение отходов (ст. 16–16.5 7-ФЗ, ПП РФ № 255, № 913). Плату за размещение ТКО вносит региональный оператор.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По календарю (Прил. 1)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Расчёт платы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21.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Внесение платы за НВОС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авансовые платежи — до 20-го числа месяца, следующего за I, II, III кварталами (не вносятся субъектами МСП);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- годовая плата — до 1 марта следующего года.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Бухгалтерия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По календарю (Прил. 1)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Платёжные поручения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22.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Подготовка обязательной отчётности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2-ТП (воздух), 2-ТП (отходы), декларация о плате, отчёт ПЭК, отчётность РОП (при наличии обязанности), 2-ТП (водхоз) — при водопользовании.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По календарю (Прил. 1)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Комплект отчётности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23.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Подписание отчётности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ГД подписывает отчётность (электронной подписью). Эколог направляет её через личный кабинет природопользователя и хранит квитанции о приёме.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Генеральный директор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 раб. день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Отчётность сдана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24.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Годовой доклад, проект плана и бюджета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Выполнение обязательств, результаты ПЭК, проверки и предписания, затраты, риски; проект плана природоохранных мероприятий и бюджета на следующий год (обучение, замеры, вывоз отходов, плата, разработка документации).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 15 апреля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Доклад, проект плана и бюджета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25.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Утверждение плана и бюджета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В случае неутверждения — доработка (этап 24).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Генеральный директор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5 раб. дней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Утверждённые план и бюджет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26.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Деятельность продолжается?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Если да — переход к этапу 17 (соединитель «4»), следующий отчётный период. Если эксплуатация объекта (площадки) прекращается — этап 27.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Генеральный директор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-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27.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Снятие объекта НВОС с государственного учёта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При прекращении эксплуатации объекта (ст. 69.2 7-ФЗ), с передачей отчётности за неполный период.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По факту прекращения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Объект снят с учёта. Конец процесса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28.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Подготовка документов, сопровождение проверки</w:t>
            </w:r>
            <w:r>
              <w:rPr>
                <w:b w:val="0"/>
                <w:i w:val="0"/>
                <w:sz w:val="22"/>
              </w:rPr>
              <w:t xml:space="preserve"> (процесс по событию)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При поступлении решения о проверке или запроса контрольного (надзорного) органа эколог в день поступления уведомляет ГД, готовит документы, сопровождает проверку.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В срок, указанный в запросе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Акт проверки / ответ на запрос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29.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Утверждение плана устранения нарушений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При выдаче предписания — план мероприятий с ответственными и сроками.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Генеральный директор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3 раб. дня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Утверждённый план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30.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Устранение нарушений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ОГТ, СГИ, руководители подразделений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По плану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Нарушения устранены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31.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/>
                <w:i w:val="0"/>
                <w:sz w:val="22"/>
              </w:rPr>
              <w:t>Отчёт об исполнении предписания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Направляется в контрольный (надзорный) орган с подтверждающими документами.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Начальник ООТиПБ (эколог)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В срок предписания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Предписание исполнено. Конец процесса</w:t>
            </w:r>
          </w:p>
        </w:tc>
      </w:tr>
    </w:tbl>
    <w:p>
      <w:r>
        <w:br w:type="page"/>
      </w:r>
    </w:p>
    <w:p>
      <w:pPr>
        <w:spacing w:after="0" w:before="0"/>
        <w:jc w:val="right"/>
      </w:pPr>
      <w:r>
        <w:rPr>
          <w:b w:val="0"/>
          <w:i w:val="0"/>
        </w:rPr>
        <w:t>Приложение 1</w:t>
      </w:r>
    </w:p>
    <w:p>
      <w:pPr>
        <w:spacing w:after="120" w:before="0"/>
        <w:jc w:val="center"/>
      </w:pPr>
      <w:r>
        <w:rPr>
          <w:b/>
          <w:i w:val="0"/>
        </w:rPr>
        <w:t>Календарь обязательной экологической отчётности и платежей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474"/>
        <w:gridCol w:w="2494"/>
        <w:gridCol w:w="2494"/>
        <w:gridCol w:w="1587"/>
        <w:gridCol w:w="1587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Срок</w:t>
            </w:r>
          </w:p>
        </w:tc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Документ / платёж</w:t>
            </w:r>
          </w:p>
        </w:tc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Кто обязан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Куда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Основание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 22 января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2-ТП (воздух)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При превышении пороговых значений выбросов, установленных указаниями Росстата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Росприроднадзор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96-ФЗ, форма Росстата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 1 февраля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2-ТП (отходы)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Все, у кого образуются отходы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Росприроднадзор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89-ФЗ, форма Росстата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 22 января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2-ТП (водхоз)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При заборе воды из водных объектов / сбросе в них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Росводресурсы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форма Росстата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 1 марта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Годовая плата за НВОС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Объекты I–III категорий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Бюджет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ст. 16.4 7-ФЗ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 10 марта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Декларация о плате за НВОС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Объекты I–III категорий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Росприроднадзор / региональный орган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ст. 16.4 7-ФЗ, ПП № 255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 25 марта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Отчёт об организации и о результатах ПЭК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Объекты I–III категорий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Росприроднадзор / региональный орган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ст. 67 7-ФЗ, приказ № 109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 1 апреля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Декларация о количестве выпущенных товаров/упаковки; отчёт о выполнении нормативов утилизации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Производители товаров и упаковки, на которых распространяется РОП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Росприроднадзор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ст. 24.2 89-ФЗ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 15 апреля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Экологический сбор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То же (при невыполнении нормативов утилизации самостоятельно)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Бюджет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ст. 24.5 89-ФЗ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 20 апреля,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20 июля,</w:t>
            </w:r>
          </w:p>
          <w:p>
            <w:pPr>
              <w:jc w:val="left"/>
            </w:pPr>
            <w:r>
              <w:rPr>
                <w:b w:val="0"/>
                <w:i w:val="0"/>
                <w:sz w:val="22"/>
              </w:rPr>
              <w:t>20 октября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Квартальные авансовые платежи за НВОС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Объекты I–III категорий, кроме субъектов МСП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Бюджет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ст. 16.4 7-ФЗ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ежеквартально / по итогам года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Данные учёта в области обращения с отходами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Все, у кого образуются отходы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Хранятся в Обществе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приказ № 1028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 раз в 7 лет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Декларация о воздействии на окружающую среду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Объекты II категории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Росприроднадзор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ст. 31.2 7-ФЗ</w:t>
            </w:r>
          </w:p>
        </w:tc>
      </w:tr>
    </w:tbl>
    <w:p>
      <w:r>
        <w:br w:type="page"/>
      </w:r>
    </w:p>
    <w:p>
      <w:pPr>
        <w:spacing w:after="0" w:before="0"/>
        <w:jc w:val="right"/>
      </w:pPr>
      <w:r>
        <w:rPr>
          <w:b w:val="0"/>
          <w:i w:val="0"/>
        </w:rPr>
        <w:t>Приложение 2</w:t>
      </w:r>
    </w:p>
    <w:p>
      <w:pPr>
        <w:spacing w:after="120" w:before="0"/>
        <w:jc w:val="center"/>
      </w:pPr>
      <w:r>
        <w:rPr>
          <w:b/>
          <w:i w:val="0"/>
        </w:rPr>
        <w:t>Ответственность за нарушение природоохранного законодательства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14"/>
        <w:gridCol w:w="4876"/>
        <w:gridCol w:w="2948"/>
      </w:tblGrid>
      <w:tr>
        <w:trPr>
          <w:tblHeader w:val="true"/>
        </w:trPr>
        <w:tc>
          <w:tcPr>
            <w:tcW w:type="dxa" w:w="181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Статья</w:t>
            </w:r>
          </w:p>
        </w:tc>
        <w:tc>
          <w:tcPr>
            <w:tcW w:type="dxa" w:w="4876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Нарушение</w:t>
            </w:r>
          </w:p>
        </w:tc>
        <w:tc>
          <w:tcPr>
            <w:tcW w:type="dxa" w:w="294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Юридическое лицо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ст. 8.1 КоАП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Несоблюдение экологических требований при эксплуатации зданий, сооружений, объектов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20 000 – 100 000 руб.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ч. 1 ст. 8.2 КоАП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Несоблюдение требований в области обращения с отходами (накопление, паспортизация, учёт, передача)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100 000 – 250 000 руб. или приостановление деятельности до 90 суток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ст. 8.5 КоАП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Сокрытие, искажение или несвоевременное сообщение экологической информации (отчётность)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20 000 – 80 000 руб.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ст. 8.41 КоАП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Невнесение в установленные сроки платы за НВОС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50 000 – 100 000 руб.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ст. 19.7 КоАП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Непредставление сведений (информации) в госорган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3 000 – 5 000 руб.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ст. 77 7-ФЗ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Причинение вреда окружающей среде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Возмещение вреда в полном объёме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ст. 247, 251 УК РФ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Нарушение правил обращения с опасными отходами; загрязнение атмосферы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Уголовная ответственность должностных лиц</w:t>
            </w:r>
          </w:p>
        </w:tc>
      </w:tr>
    </w:tbl>
    <w:p>
      <w:pPr>
        <w:spacing w:after="0" w:before="120"/>
        <w:ind w:firstLine="709"/>
        <w:jc w:val="both"/>
      </w:pPr>
      <w:r>
        <w:rPr>
          <w:b w:val="0"/>
          <w:i w:val="0"/>
          <w:sz w:val="26"/>
        </w:rPr>
        <w:t>Должностные лица (ГД и назначенные ответственные) несут самостоятельную административную ответственность по тем же статьям. Штрафы на юридическое лицо и на должностное лицо назначаются одновременно.</w:t>
      </w:r>
    </w:p>
    <w:p>
      <w:pPr>
        <w:spacing w:after="0" w:before="360"/>
        <w:jc w:val="right"/>
      </w:pPr>
      <w:r>
        <w:rPr>
          <w:b w:val="0"/>
          <w:i w:val="0"/>
        </w:rPr>
        <w:t>Приложение 3</w:t>
      </w:r>
    </w:p>
    <w:p>
      <w:pPr>
        <w:spacing w:after="120" w:before="0"/>
        <w:jc w:val="center"/>
      </w:pPr>
      <w:r>
        <w:rPr>
          <w:b/>
          <w:i w:val="0"/>
        </w:rPr>
        <w:t>Решения и документы, требующие участия генерального директора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67"/>
        <w:gridCol w:w="5669"/>
        <w:gridCol w:w="1020"/>
        <w:gridCol w:w="2381"/>
      </w:tblGrid>
      <w:tr>
        <w:trPr>
          <w:tblHeader w:val="true"/>
        </w:trPr>
        <w:tc>
          <w:tcPr>
            <w:tcW w:type="dxa" w:w="56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5669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Документ / решение</w:t>
            </w:r>
          </w:p>
        </w:tc>
        <w:tc>
          <w:tcPr>
            <w:tcW w:type="dxa" w:w="102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Этап</w:t>
            </w:r>
          </w:p>
        </w:tc>
        <w:tc>
          <w:tcPr>
            <w:tcW w:type="dxa" w:w="238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Периодичность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Приказ о назначении ответственных за экологическую безопасность, ПЭК, обращение с отходами, эксплуатацию ГОУ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Однократно, при изменениях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Направление ответственных на обучение (ст. 73 7-ФЗ, ст. 15 89-ФЗ)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При назначении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Подписание декларации о воздействии на окружающую среду (II категория)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9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 раз в 7 лет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4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Утверждение паспортов отходов I–IV классов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При появлении нового вида отходов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Договоры с региональным оператором, ФЭО, лицензиатами, аккредитованной лабораторией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Ежегодно / по сроку договора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6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Утверждение программы ПЭК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15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При изменениях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7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Подписание декларации о плате и отчётности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Ежегодно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8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Утверждение плана природоохранных мероприятий и бюджета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25, 26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Ежегодно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9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Утверждение плана устранения нарушений по предписаниям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29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i w:val="0"/>
                <w:sz w:val="22"/>
              </w:rPr>
              <w:t>По событию</w:t>
            </w:r>
          </w:p>
        </w:tc>
      </w:tr>
    </w:tbl>
    <w:p>
      <w:pPr>
        <w:spacing w:after="0" w:before="480"/>
        <w:jc w:val="left"/>
      </w:pPr>
      <w:r>
        <w:rPr>
          <w:b w:val="0"/>
          <w:i w:val="0"/>
        </w:rPr>
        <w:t>Начальник отдела ОТ и ПБ                _______________ / _______________ /</w:t>
      </w:r>
    </w:p>
    <w:p>
      <w:pPr>
        <w:spacing w:after="0" w:before="120"/>
        <w:jc w:val="left"/>
      </w:pPr>
      <w:r>
        <w:rPr>
          <w:b w:val="0"/>
          <w:i w:val="0"/>
        </w:rPr>
        <w:t>«____» _______________ 2026 г.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