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</w:rPr>
        <w:t>Кому: ______</w:t>
      </w:r>
    </w:p>
    <w:p>
      <w:pPr/>
      <w:r>
        <w:rPr>
          <w:b/>
        </w:rPr>
        <w:t>Тема: Re: Предложения по улучшению процессов и развитию функции</w:t>
      </w:r>
    </w:p>
    <w:p>
      <w:pPr/>
    </w:p>
    <w:p>
      <w:pPr>
        <w:jc w:val="both"/>
      </w:pPr>
      <w:r>
        <w:rPr>
          <w:b w:val="0"/>
        </w:rPr>
        <w:t>______, добрый день!</w:t>
      </w:r>
    </w:p>
    <w:p>
      <w:pPr>
        <w:jc w:val="both"/>
      </w:pPr>
      <w:r>
        <w:rPr>
          <w:b w:val="0"/>
        </w:rPr>
        <w:t>Направляю предложения ООТ и ПБ по улучшению процессов, взаимодействию и развитию функции (охрана труда, промышленная безопасность, экология) дополнительно к ежеквартальной отчётности.</w:t>
      </w:r>
    </w:p>
    <w:p>
      <w:pPr/>
      <w:r>
        <w:rPr>
          <w:b/>
        </w:rPr>
        <w:t>1. Взаимодействие с подразделениями</w:t>
      </w:r>
    </w:p>
    <w:p>
      <w:pPr>
        <w:ind w:left="340"/>
        <w:jc w:val="both"/>
      </w:pPr>
      <w:r>
        <w:rPr>
          <w:b w:val="0"/>
        </w:rPr>
        <w:t>– Обязательное согласование с ООТ и ПБ на стадии заявки (а не по факту): новое оборудование, изменение техпроцесса, применение газов и химических веществ, перепланировка площадей. Инструмент — чек-лист «Ввод оборудования / техпроцесса» с визой ООТ и ПБ. Основание: ситуация с подключением кислорода к лазерному станку.</w:t>
      </w:r>
    </w:p>
    <w:p>
      <w:pPr>
        <w:ind w:left="340"/>
        <w:jc w:val="both"/>
      </w:pPr>
      <w:r>
        <w:rPr>
          <w:b w:val="0"/>
        </w:rPr>
        <w:t>– Матрица ответственности по ОТ, ПБ и экологии (ООТ и ПБ — главный инженер — ОГТ — руководители подразделений — АХО) с закреплением в Положении о СУОТ (приказ Минтруда № 776н). ООТ и ПБ — требования, методология, контроль; подразделения — исполнение.</w:t>
      </w:r>
    </w:p>
    <w:p>
      <w:pPr>
        <w:ind w:left="340"/>
        <w:jc w:val="both"/>
      </w:pPr>
      <w:r>
        <w:rPr>
          <w:b w:val="0"/>
        </w:rPr>
        <w:t>– Единый реестр предписаний и поручений по ОТ, ПБ и экологии (ответственный, срок, статус) с ежемесячным рассмотрением на совещании у руководства.</w:t>
      </w:r>
    </w:p>
    <w:p>
      <w:pPr>
        <w:ind w:left="340"/>
        <w:jc w:val="both"/>
      </w:pPr>
      <w:r>
        <w:rPr>
          <w:b w:val="0"/>
        </w:rPr>
        <w:t>– Единая точка входа для согласований с АО «ОЭЗ «Технополис Москва» и реестр полученных согласований по площадкам.</w:t>
      </w:r>
    </w:p>
    <w:p>
      <w:pPr/>
      <w:r>
        <w:rPr>
          <w:b/>
        </w:rPr>
        <w:t>2. Охрана труда</w:t>
      </w:r>
    </w:p>
    <w:p>
      <w:pPr>
        <w:ind w:left="340"/>
        <w:jc w:val="both"/>
      </w:pPr>
      <w:r>
        <w:rPr>
          <w:b w:val="0"/>
        </w:rPr>
        <w:t>– Цифровой реестр сроков: обучение и проверка знаний (ПП РФ № 2464), медосмотры (приказ № 29н), выдача СИЗ (приказ № 766н), инструктажи. Автоматические напоминания руководителям за 30 дней до срока.</w:t>
      </w:r>
    </w:p>
    <w:p>
      <w:pPr>
        <w:ind w:left="340"/>
        <w:jc w:val="both"/>
      </w:pPr>
      <w:r>
        <w:rPr>
          <w:b w:val="0"/>
        </w:rPr>
        <w:t>– Выездной медосмотр — закрепить как регулярную практику по площадкам (опыт Технопарка «Руднево», 28.10.2026): снижение потерь рабочего времени.</w:t>
      </w:r>
    </w:p>
    <w:p>
      <w:pPr>
        <w:ind w:left="340"/>
        <w:jc w:val="both"/>
      </w:pPr>
      <w:r>
        <w:rPr>
          <w:b w:val="0"/>
        </w:rPr>
        <w:t>– Канал сообщений о микроповреждениях и опасных ситуациях (QR-код на площадках) — учёт по приказу № 632н, анализ причин до наступления несчастного случая.</w:t>
      </w:r>
    </w:p>
    <w:p>
      <w:pPr>
        <w:ind w:left="340"/>
        <w:jc w:val="both"/>
      </w:pPr>
      <w:r>
        <w:rPr>
          <w:b w:val="0"/>
        </w:rPr>
        <w:t>– Актуализация оценки профессиональных рисков по площадкам «Руднево-16», «Руднево-7», «Машково» с учётом результатов СОУТ 2026.</w:t>
      </w:r>
    </w:p>
    <w:p>
      <w:pPr>
        <w:ind w:left="340"/>
        <w:jc w:val="both"/>
      </w:pPr>
      <w:r>
        <w:rPr>
          <w:b w:val="0"/>
        </w:rPr>
        <w:t>– Плановые обходы площадок руководителями подразделений совместно с ООТ и ПБ (график, чек-лист, фиксация замечаний в реестре).</w:t>
      </w:r>
    </w:p>
    <w:p>
      <w:pPr/>
      <w:r>
        <w:rPr>
          <w:b/>
        </w:rPr>
        <w:t>3. Промышленная безопасность</w:t>
      </w:r>
    </w:p>
    <w:p>
      <w:pPr>
        <w:ind w:left="340"/>
        <w:jc w:val="both"/>
      </w:pPr>
      <w:r>
        <w:rPr>
          <w:b w:val="0"/>
        </w:rPr>
        <w:t>– Реестр оборудования, подлежащего требованиям ПБ (баллоны, сосуды под давлением, грузоподъёмные механизмы), с ответственными по приказу и сроками освидетельствований.</w:t>
      </w:r>
    </w:p>
    <w:p>
      <w:pPr>
        <w:ind w:left="340"/>
        <w:jc w:val="both"/>
      </w:pPr>
      <w:r>
        <w:rPr>
          <w:b w:val="0"/>
        </w:rPr>
        <w:t>– План (проект) размещения баллонов для площадок «Руднево-16» и «Руднево-7» (п. 574 ФНП, приказ Ростехнадзора № 536) — до ввода газового оборудования.</w:t>
      </w:r>
    </w:p>
    <w:p>
      <w:pPr/>
      <w:r>
        <w:rPr>
          <w:b/>
        </w:rPr>
        <w:t>4. Экология</w:t>
      </w:r>
    </w:p>
    <w:p>
      <w:pPr>
        <w:ind w:left="340"/>
        <w:jc w:val="both"/>
      </w:pPr>
      <w:r>
        <w:rPr>
          <w:b w:val="0"/>
        </w:rPr>
        <w:t>– Календарь экологической отчётности и платежей с ответственными (2-ТП (отходы), плата за НВОС, учёт отходов по приказу Минприроды № 1028).</w:t>
      </w:r>
    </w:p>
    <w:p>
      <w:pPr>
        <w:ind w:left="340"/>
        <w:jc w:val="both"/>
      </w:pPr>
      <w:r>
        <w:rPr>
          <w:b w:val="0"/>
        </w:rPr>
        <w:t>– Инвентаризация отходов и источников выбросов с учётом применяемых клеёв, ЛКМ, растворителей, композитных материалов; актуализация паспортов отходов I–IV класса.</w:t>
      </w:r>
    </w:p>
    <w:p>
      <w:pPr>
        <w:ind w:left="340"/>
        <w:jc w:val="both"/>
      </w:pPr>
      <w:r>
        <w:rPr>
          <w:b w:val="0"/>
        </w:rPr>
        <w:t>– Раздельный сбор отходов на площадках (стружка, обрезки материалов, упаковка) — снижение затрат на вывоз.</w:t>
      </w:r>
    </w:p>
    <w:p>
      <w:pPr/>
      <w:r>
        <w:rPr>
          <w:b/>
        </w:rPr>
        <w:t>5. Развитие функции</w:t>
      </w:r>
    </w:p>
    <w:p>
      <w:pPr>
        <w:ind w:left="340"/>
        <w:jc w:val="both"/>
      </w:pPr>
      <w:r>
        <w:rPr>
          <w:b w:val="0"/>
        </w:rPr>
        <w:t>– Внесение организации в реестр организаций, проводящих обучение по ОТ (ПП РФ № 2464): проведение обучения собственными силами, сокращение затрат на внешнее обучение.</w:t>
      </w:r>
    </w:p>
    <w:p>
      <w:pPr>
        <w:ind w:left="340"/>
        <w:jc w:val="both"/>
      </w:pPr>
      <w:r>
        <w:rPr>
          <w:b w:val="0"/>
        </w:rPr>
        <w:t>– Показатели функции (KPI): количество несчастных случаев и микроповреждений; доля предписаний, выполненных в срок; доля работников, обученных в срок; количество сообщений об опасных ситуациях.</w:t>
      </w:r>
    </w:p>
    <w:p>
      <w:pPr>
        <w:ind w:left="340"/>
        <w:jc w:val="both"/>
      </w:pPr>
      <w:r>
        <w:rPr>
          <w:b w:val="0"/>
        </w:rPr>
        <w:t>– Включение показателей ОТ и ПБ в оценку результатов руководителей подразделений.</w:t>
      </w:r>
    </w:p>
    <w:p>
      <w:pPr>
        <w:ind w:left="340"/>
        <w:jc w:val="both"/>
      </w:pPr>
      <w:r>
        <w:rPr>
          <w:b w:val="0"/>
        </w:rPr>
        <w:t>– Повышение квалификации специалистов отдела (экология, промышленная безопасность — аттестация в Ростехнадзоре).</w:t>
      </w:r>
    </w:p>
    <w:p>
      <w:pPr>
        <w:jc w:val="both"/>
      </w:pPr>
      <w:r>
        <w:rPr>
          <w:b w:val="0"/>
        </w:rPr>
        <w:t>Готова представить предложения подробнее, с оценкой сроков и ресурсов.</w:t>
      </w:r>
    </w:p>
    <w:p>
      <w:pPr/>
    </w:p>
    <w:p>
      <w:pPr/>
      <w:r>
        <w:rPr>
          <w:b w:val="0"/>
        </w:rPr>
        <w:t>С уважением,</w:t>
      </w:r>
    </w:p>
    <w:p>
      <w:pPr/>
      <w:r>
        <w:rPr>
          <w:b w:val="0"/>
        </w:rPr>
        <w:t>Айкешева А.К.</w:t>
      </w:r>
    </w:p>
    <w:p>
      <w:pPr/>
      <w:r>
        <w:rPr>
          <w:b w:val="0"/>
        </w:rPr>
        <w:t>Начальник отдела охраны труда и промышленной безопасности</w:t>
      </w:r>
    </w:p>
    <w:p>
      <w:pPr/>
      <w:r>
        <w:rPr>
          <w:b w:val="0"/>
        </w:rPr>
        <w:t>ООО «Авиационные интерьеры-СН»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