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vidence-model-evaluation-screenshots"/>
    <w:p>
      <w:pPr>
        <w:pStyle w:val="Heading1"/>
      </w:pPr>
      <w:r>
        <w:t xml:space="preserve">Evidence: Model Evaluation Screenshots</w:t>
      </w:r>
    </w:p>
    <w:bookmarkStart w:id="12" w:name="adult-income-xgboost"/>
    <w:p>
      <w:pPr>
        <w:pStyle w:val="Heading2"/>
      </w:pPr>
      <w:r>
        <w:t xml:space="preserve">Adult Income – XGBoost</w:t>
      </w:r>
    </w:p>
    <w:p>
      <w:pPr>
        <w:pStyle w:val="Compact"/>
        <w:numPr>
          <w:ilvl w:val="0"/>
          <w:numId w:val="1001"/>
        </w:numPr>
      </w:pPr>
      <w:r>
        <w:t xml:space="preserve">Metrics: see paper Results section.</w:t>
      </w:r>
    </w:p>
    <w:p>
      <w:pPr>
        <w:pStyle w:val="Compact"/>
        <w:numPr>
          <w:ilvl w:val="0"/>
          <w:numId w:val="1001"/>
        </w:numPr>
      </w:pPr>
      <w:r>
        <w:t xml:space="preserve">Confusion Matrix:</w:t>
      </w:r>
    </w:p>
    <w:p>
      <w:pPr>
        <w:pStyle w:val="CaptionedFigure"/>
      </w:pPr>
      <w:r>
        <w:drawing>
          <wp:inline>
            <wp:extent cx="3657600" cy="3657600"/>
            <wp:effectExtent b="0" l="0" r="0" t="0"/>
            <wp:docPr descr="Adult XGBoost Confusion Matrix" title="" id="10" name="Picture"/>
            <a:graphic>
              <a:graphicData uri="http://schemas.openxmlformats.org/drawingml/2006/picture">
                <pic:pic>
                  <pic:nvPicPr>
                    <pic:cNvPr descr="images/adult_xgb_confusion_matrix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Adult XGBoost Confusion Matrix</w:t>
      </w:r>
    </w:p>
    <w:bookmarkEnd w:id="12"/>
    <w:bookmarkStart w:id="16" w:name="titanic-naive-bayes"/>
    <w:p>
      <w:pPr>
        <w:pStyle w:val="Heading2"/>
      </w:pPr>
      <w:r>
        <w:t xml:space="preserve">Titanic – Naive Bayes</w:t>
      </w:r>
    </w:p>
    <w:p>
      <w:pPr>
        <w:pStyle w:val="Compact"/>
        <w:numPr>
          <w:ilvl w:val="0"/>
          <w:numId w:val="1002"/>
        </w:numPr>
      </w:pPr>
      <w:r>
        <w:t xml:space="preserve">Metrics: see paper Results section.</w:t>
      </w:r>
    </w:p>
    <w:p>
      <w:pPr>
        <w:pStyle w:val="Compact"/>
        <w:numPr>
          <w:ilvl w:val="0"/>
          <w:numId w:val="1002"/>
        </w:numPr>
      </w:pPr>
      <w:r>
        <w:t xml:space="preserve">Confusion Matrix:</w:t>
      </w:r>
    </w:p>
    <w:p>
      <w:pPr>
        <w:pStyle w:val="CaptionedFigure"/>
      </w:pPr>
      <w:r>
        <w:drawing>
          <wp:inline>
            <wp:extent cx="3657600" cy="3657600"/>
            <wp:effectExtent b="0" l="0" r="0" t="0"/>
            <wp:docPr descr="Titanic NB Confusion Matrix" title="" id="14" name="Picture"/>
            <a:graphic>
              <a:graphicData uri="http://schemas.openxmlformats.org/drawingml/2006/picture">
                <pic:pic>
                  <pic:nvPicPr>
                    <pic:cNvPr descr="images/titanic_nb_confusion_matrix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Titanic NB Confusion Matrix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2025-09-16T01:42:28Z</dcterms:created>
  <dcterms:modified xsi:type="dcterms:W3CDTF">2025-09-16T01:42:28Z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