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F2240"/>
          <w:sz w:val="44"/>
        </w:rPr>
        <w:t>EBM SmartClinical</w:t>
      </w:r>
    </w:p>
    <w:p>
      <w:r>
        <w:rPr>
          <w:color w:val="1F8A8A"/>
          <w:sz w:val="28"/>
        </w:rPr>
        <w:t>İş Planı ve Zaman Çizelgesi</w:t>
      </w:r>
    </w:p>
    <w:p>
      <w:r>
        <w:rPr>
          <w:sz w:val="20"/>
        </w:rPr>
        <w:t>Proje süresi 18 aydır. Plan, ön başvuruda tanımlanan beş ana iş paketine ve ay aralıklarına göre hazırlanmıştır. Her iş paketi alt faaliyetlere ayrılmış; çıktılar, başarı ölçütleri, kilometre taşları ve riskler aşağıda verilmiştir.</w:t>
      </w:r>
    </w:p>
    <w:p>
      <w:pPr>
        <w:spacing w:before="200" w:after="80"/>
      </w:pPr>
      <w:r>
        <w:rPr>
          <w:b/>
          <w:color w:val="0F2240"/>
          <w:sz w:val="32"/>
        </w:rPr>
        <w:t>1. Zaman çizelgesi</w:t>
      </w:r>
    </w:p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4" w:color="C9D1CE"/>
          <w:left w:val="single" w:sz="4" w:color="C9D1CE"/>
          <w:bottom w:val="single" w:sz="4" w:color="C9D1CE"/>
          <w:right w:val="single" w:sz="4" w:color="C9D1CE"/>
          <w:insideH w:val="single" w:sz="4" w:color="C9D1CE"/>
          <w:insideV w:val="single" w:sz="4" w:color="C9D1CE"/>
        </w:tblBorders>
        <w:tblLayout w:type="fixed"/>
        <w:tblW w:w="15138" w:type="dxa"/>
        <w:tblCellMar>
          <w:top w:w="20" w:type="dxa"/>
          <w:bottom w:w="20" w:type="dxa"/>
          <w:left w:w="60" w:type="dxa"/>
          <w:right w:w="40" w:type="dxa"/>
        </w:tblCellMar>
      </w:tblPr>
      <w:tblGrid>
        <w:gridCol w:w="793"/>
        <w:gridCol w:w="5670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</w:tblGrid>
      <w:tr>
        <w:trPr>
          <w:tblHeader w:val="true"/>
        </w:trPr>
        <w:tc>
          <w:tcPr>
            <w:tcW w:type="dxa" w:w="794"/>
            <w:vAlign w:val="center"/>
            <w:shd w:val="clear" w:color="auto" w:fill="0F2240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Kod</w:t>
            </w:r>
          </w:p>
        </w:tc>
        <w:tc>
          <w:tcPr>
            <w:tcW w:type="dxa" w:w="5669"/>
            <w:vAlign w:val="center"/>
            <w:shd w:val="clear" w:color="auto" w:fill="0F2240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6"/>
              </w:rPr>
              <w:t>İş paketi / faaliyet</w:t>
            </w:r>
          </w:p>
        </w:tc>
        <w:tc>
          <w:tcPr>
            <w:tcW w:type="dxa" w:w="482"/>
            <w:vAlign w:val="center"/>
            <w:shd w:val="clear" w:color="auto" w:fill="0F224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type="dxa" w:w="482"/>
            <w:vAlign w:val="center"/>
            <w:shd w:val="clear" w:color="auto" w:fill="0F224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2</w:t>
            </w:r>
          </w:p>
        </w:tc>
        <w:tc>
          <w:tcPr>
            <w:tcW w:type="dxa" w:w="482"/>
            <w:vAlign w:val="center"/>
            <w:shd w:val="clear" w:color="auto" w:fill="0F224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482"/>
            <w:vAlign w:val="center"/>
            <w:shd w:val="clear" w:color="auto" w:fill="0F224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4</w:t>
            </w:r>
          </w:p>
        </w:tc>
        <w:tc>
          <w:tcPr>
            <w:tcW w:type="dxa" w:w="482"/>
            <w:vAlign w:val="center"/>
            <w:shd w:val="clear" w:color="auto" w:fill="0F224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5</w:t>
            </w:r>
          </w:p>
        </w:tc>
        <w:tc>
          <w:tcPr>
            <w:tcW w:type="dxa" w:w="482"/>
            <w:vAlign w:val="center"/>
            <w:shd w:val="clear" w:color="auto" w:fill="0F224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6</w:t>
            </w:r>
          </w:p>
        </w:tc>
        <w:tc>
          <w:tcPr>
            <w:tcW w:type="dxa" w:w="482"/>
            <w:vAlign w:val="center"/>
            <w:shd w:val="clear" w:color="auto" w:fill="0F224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7</w:t>
            </w:r>
          </w:p>
        </w:tc>
        <w:tc>
          <w:tcPr>
            <w:tcW w:type="dxa" w:w="482"/>
            <w:vAlign w:val="center"/>
            <w:shd w:val="clear" w:color="auto" w:fill="0F224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8</w:t>
            </w:r>
          </w:p>
        </w:tc>
        <w:tc>
          <w:tcPr>
            <w:tcW w:type="dxa" w:w="482"/>
            <w:vAlign w:val="center"/>
            <w:shd w:val="clear" w:color="auto" w:fill="0F224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9</w:t>
            </w:r>
          </w:p>
        </w:tc>
        <w:tc>
          <w:tcPr>
            <w:tcW w:type="dxa" w:w="482"/>
            <w:vAlign w:val="center"/>
            <w:shd w:val="clear" w:color="auto" w:fill="0F224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10</w:t>
            </w:r>
          </w:p>
        </w:tc>
        <w:tc>
          <w:tcPr>
            <w:tcW w:type="dxa" w:w="482"/>
            <w:vAlign w:val="center"/>
            <w:shd w:val="clear" w:color="auto" w:fill="0F224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11</w:t>
            </w:r>
          </w:p>
        </w:tc>
        <w:tc>
          <w:tcPr>
            <w:tcW w:type="dxa" w:w="482"/>
            <w:vAlign w:val="center"/>
            <w:shd w:val="clear" w:color="auto" w:fill="0F224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12</w:t>
            </w:r>
          </w:p>
        </w:tc>
        <w:tc>
          <w:tcPr>
            <w:tcW w:type="dxa" w:w="482"/>
            <w:vAlign w:val="center"/>
            <w:shd w:val="clear" w:color="auto" w:fill="0F224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13</w:t>
            </w:r>
          </w:p>
        </w:tc>
        <w:tc>
          <w:tcPr>
            <w:tcW w:type="dxa" w:w="482"/>
            <w:vAlign w:val="center"/>
            <w:shd w:val="clear" w:color="auto" w:fill="0F224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14</w:t>
            </w:r>
          </w:p>
        </w:tc>
        <w:tc>
          <w:tcPr>
            <w:tcW w:type="dxa" w:w="482"/>
            <w:vAlign w:val="center"/>
            <w:shd w:val="clear" w:color="auto" w:fill="0F224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15</w:t>
            </w:r>
          </w:p>
        </w:tc>
        <w:tc>
          <w:tcPr>
            <w:tcW w:type="dxa" w:w="482"/>
            <w:vAlign w:val="center"/>
            <w:shd w:val="clear" w:color="auto" w:fill="0F224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16</w:t>
            </w:r>
          </w:p>
        </w:tc>
        <w:tc>
          <w:tcPr>
            <w:tcW w:type="dxa" w:w="482"/>
            <w:vAlign w:val="center"/>
            <w:shd w:val="clear" w:color="auto" w:fill="0F224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17</w:t>
            </w:r>
          </w:p>
        </w:tc>
        <w:tc>
          <w:tcPr>
            <w:tcW w:type="dxa" w:w="482"/>
            <w:vAlign w:val="center"/>
            <w:shd w:val="clear" w:color="auto" w:fill="0F2240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6"/>
              </w:rPr>
              <w:t>18</w:t>
            </w:r>
          </w:p>
        </w:tc>
      </w:tr>
      <w:tr>
        <w:trPr>
          <w:trHeight w:val="317" w:hRule="atLeast"/>
        </w:trPr>
        <w:tc>
          <w:tcPr>
            <w:tcW w:type="dxa" w:w="794"/>
            <w:vAlign w:val="center"/>
            <w:shd w:val="clear" w:color="auto" w:fill="F2F4F3"/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İP1</w:t>
            </w:r>
          </w:p>
        </w:tc>
        <w:tc>
          <w:tcPr>
            <w:tcW w:type="dxa" w:w="5669"/>
            <w:vAlign w:val="center"/>
            <w:shd w:val="clear" w:color="auto" w:fill="F2F4F3"/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Gizlilik Öncelikli Veri Altyapısı ve Türkçe Klinik Referans Veri Seti</w:t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İP1.1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Veri envanteri, etik kurul ve KVKK süreçleri</w:t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İP1.2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FHIR/OMOP uyumlu ortak veri modeli</w:t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İP1.3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Kimliksizleştirme aracının gerçek veriyle doğrulanması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İP1.4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Altın standart referans veri setinin etiketlenmesi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317" w:hRule="atLeast"/>
        </w:trPr>
        <w:tc>
          <w:tcPr>
            <w:tcW w:type="dxa" w:w="794"/>
            <w:vAlign w:val="center"/>
            <w:shd w:val="clear" w:color="auto" w:fill="F2F4F3"/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İP2</w:t>
            </w:r>
          </w:p>
        </w:tc>
        <w:tc>
          <w:tcPr>
            <w:tcW w:type="dxa" w:w="5669"/>
            <w:vAlign w:val="center"/>
            <w:shd w:val="clear" w:color="auto" w:fill="F2F4F3"/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Türkçe Klinik Büyük Dil Modeli ve Protokol–Hasta Eşleştirme Motoru</w:t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İP2.1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Temel modelin Türkçe tıbbi derlemle alana uyarlanması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İP2.2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Klinik araştırma görevleri için talimat ince ayarı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İP2.3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Kriter yapılandırma ve RAG tabanlı eşleştirme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İP2.4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Halüsinasyon kontrolü ve nicemlenmiş hastane içi model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317" w:hRule="atLeast"/>
        </w:trPr>
        <w:tc>
          <w:tcPr>
            <w:tcW w:type="dxa" w:w="794"/>
            <w:vAlign w:val="center"/>
            <w:shd w:val="clear" w:color="auto" w:fill="F2F4F3"/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İP3</w:t>
            </w:r>
          </w:p>
        </w:tc>
        <w:tc>
          <w:tcPr>
            <w:tcW w:type="dxa" w:w="5669"/>
            <w:vAlign w:val="center"/>
            <w:shd w:val="clear" w:color="auto" w:fill="F2F4F3"/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Merkez Zekâsı ve Risk Bazlı İzlem Tahmin Modelleri</w:t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İP3.1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Hiyerarşik Bayesçi hasta kazanım modeli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İP3.2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Sağkalım tabanlı aktivasyon gecikme riski modeli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İP3.3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KRI/QTL tabanlı erken uyarı motoru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İP3.4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Transfer öğrenme, açıklanabilirlik, geriye dönük doğrulama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317" w:hRule="atLeast"/>
        </w:trPr>
        <w:tc>
          <w:tcPr>
            <w:tcW w:type="dxa" w:w="794"/>
            <w:vAlign w:val="center"/>
            <w:shd w:val="clear" w:color="auto" w:fill="F2F4F3"/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İP4</w:t>
            </w:r>
          </w:p>
        </w:tc>
        <w:tc>
          <w:tcPr>
            <w:tcW w:type="dxa" w:w="5669"/>
            <w:vAlign w:val="center"/>
            <w:shd w:val="clear" w:color="auto" w:fill="F2F4F3"/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Platform Entegrasyonu, Siber Güvenlik ve Bilgisayarlı Sistem Validasyonu</w:t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İP4.1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Mikroservis platform ve karar destek panelleri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İP4.2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HBYS ve EDC için FHIR entegrasyon adaptörleri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İP4.3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Annex 11 / Part 11, IEC 62304, ISO 27001, sızma testi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İP4.4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Validasyon dosyası (IQ/OQ/PQ, izlenebilirlik)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317" w:hRule="atLeast"/>
        </w:trPr>
        <w:tc>
          <w:tcPr>
            <w:tcW w:type="dxa" w:w="794"/>
            <w:vAlign w:val="center"/>
            <w:shd w:val="clear" w:color="auto" w:fill="F2F4F3"/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İP5</w:t>
            </w:r>
          </w:p>
        </w:tc>
        <w:tc>
          <w:tcPr>
            <w:tcW w:type="dxa" w:w="5669"/>
            <w:vAlign w:val="center"/>
            <w:shd w:val="clear" w:color="auto" w:fill="F2F4F3"/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Gerçek Ortam Pilot Doğrulaması, THS 7 ve Ürünleştirme</w:t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FFFFFF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0F2240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İP5.1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Üç pilot hastanede kurulum ve gölge mod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İP5.2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Manuel ön tarama ile karşılaştırma ve süre ölçümü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İP5.3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Kabul testleri, regülasyon sınıflandırma, dokümantasyon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rPr>
          <w:trHeight w:val="260" w:hRule="atLeast"/>
        </w:trPr>
        <w:tc>
          <w:tcPr>
            <w:tcW w:type="dxa" w:w="79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İP5.4</w:t>
            </w:r>
          </w:p>
        </w:tc>
        <w:tc>
          <w:tcPr>
            <w:tcW w:type="dxa" w:w="5669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5"/>
              </w:rPr>
              <w:t>İş modeli, fikri haklar ve yaygınlaştırma planı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shd w:val="clear" w:color="auto" w:fill="1F8A8A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</w:tr>
      <w:tr>
        <w:tc>
          <w:tcPr>
            <w:tcW w:type="dxa" w:w="794"/>
            <w:vAlign w:val="center"/>
            <w:shd w:val="clear" w:color="auto" w:fill="F2F4F3"/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KT</w:t>
            </w:r>
          </w:p>
        </w:tc>
        <w:tc>
          <w:tcPr>
            <w:tcW w:type="dxa" w:w="5669"/>
            <w:vAlign w:val="center"/>
            <w:shd w:val="clear" w:color="auto" w:fill="F2F4F3"/>
          </w:tcPr>
          <w:p>
            <w:pPr>
              <w:spacing w:after="0" w:before="0" w:line="240" w:lineRule="auto"/>
            </w:pPr>
            <w:r/>
            <w:r>
              <w:rPr>
                <w:b/>
                <w:sz w:val="16"/>
              </w:rPr>
              <w:t>Kilometre taşları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vAlign w:val="center"/>
            <w:shd w:val="clear" w:color="auto" w:fill="D9962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KT1</w:t>
            </w:r>
          </w:p>
        </w:tc>
        <w:tc>
          <w:tcPr>
            <w:tcW w:type="dxa" w:w="482"/>
            <w:vAlign w:val="center"/>
            <w:shd w:val="clear" w:color="auto" w:fill="D9962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KT2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vAlign w:val="center"/>
            <w:shd w:val="clear" w:color="auto" w:fill="D9962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KT3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vAlign w:val="center"/>
            <w:shd w:val="clear" w:color="auto" w:fill="D9962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KT4</w:t>
            </w:r>
          </w:p>
        </w:tc>
        <w:tc>
          <w:tcPr>
            <w:tcW w:type="dxa" w:w="482"/>
            <w:vAlign w:val="center"/>
            <w:shd w:val="clear" w:color="auto" w:fill="D9962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KT5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vAlign w:val="center"/>
            <w:shd w:val="clear" w:color="auto" w:fill="D9962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KT6</w:t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</w:tcPr>
          <w:p>
            <w:pPr>
              <w:spacing w:after="0" w:before="0" w:line="240" w:lineRule="auto"/>
              <w:rPr>
                <w:sz w:val="12"/>
              </w:rPr>
            </w:pPr>
            <w:r>
              <w:rPr>
                <w:sz w:val="12"/>
              </w:rPr>
            </w:r>
          </w:p>
        </w:tc>
        <w:tc>
          <w:tcPr>
            <w:tcW w:type="dxa" w:w="482"/>
            <w:vAlign w:val="center"/>
            <w:shd w:val="clear" w:color="auto" w:fill="D9962B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/>
                <w:color w:val="FFFFFF"/>
                <w:sz w:val="13"/>
              </w:rPr>
              <w:t>KT7/8</w:t>
            </w:r>
          </w:p>
        </w:tc>
      </w:tr>
    </w:tbl>
    <w:p>
      <w:pPr>
        <w:spacing w:before="80"/>
      </w:pPr>
      <w:r>
        <w:rPr>
          <w:color w:val="0F2240"/>
          <w:sz w:val="16"/>
        </w:rPr>
        <w:t xml:space="preserve">■ </w:t>
      </w:r>
      <w:r>
        <w:rPr>
          <w:sz w:val="16"/>
        </w:rPr>
        <w:t xml:space="preserve">İş paketi süresi   </w:t>
      </w:r>
      <w:r>
        <w:rPr>
          <w:color w:val="1F8A8A"/>
          <w:sz w:val="16"/>
        </w:rPr>
        <w:t xml:space="preserve">■ </w:t>
      </w:r>
      <w:r>
        <w:rPr>
          <w:sz w:val="16"/>
        </w:rPr>
        <w:t xml:space="preserve">Faaliyet süresi   </w:t>
      </w:r>
      <w:r>
        <w:rPr>
          <w:color w:val="D9962B"/>
          <w:sz w:val="16"/>
        </w:rPr>
        <w:t xml:space="preserve">■ </w:t>
      </w:r>
      <w:r>
        <w:rPr>
          <w:sz w:val="16"/>
        </w:rPr>
        <w:t>Kilometre taşı</w:t>
      </w:r>
    </w:p>
    <w:p>
      <w:pPr>
        <w:pageBreakBefore/>
        <w:spacing w:before="200" w:after="80"/>
      </w:pPr>
      <w:r>
        <w:rPr>
          <w:b/>
          <w:color w:val="0F2240"/>
          <w:sz w:val="32"/>
        </w:rPr>
        <w:t>2. İş paketleri</w:t>
      </w:r>
    </w:p>
    <w:p>
      <w:pPr>
        <w:keepNext/>
        <w:spacing w:before="160" w:after="80"/>
      </w:pPr>
      <w:r>
        <w:rPr>
          <w:b/>
          <w:color w:val="0F2240"/>
          <w:sz w:val="24"/>
        </w:rPr>
        <w:t>İP1 – Gizlilik Öncelikli Veri Altyapısı ve Türkçe Klinik Referans Veri Seti (Ay 1–4)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color="C9D1CE"/>
          <w:left w:val="single" w:sz="4" w:color="C9D1CE"/>
          <w:bottom w:val="single" w:sz="4" w:color="C9D1CE"/>
          <w:right w:val="single" w:sz="4" w:color="C9D1CE"/>
          <w:insideH w:val="single" w:sz="4" w:color="C9D1CE"/>
          <w:insideV w:val="single" w:sz="4" w:color="C9D1CE"/>
        </w:tblBorders>
        <w:tblLayout w:type="fixed"/>
        <w:tblW w:w="15138" w:type="dxa"/>
      </w:tblPr>
      <w:tblGrid>
        <w:gridCol w:w="1927"/>
        <w:gridCol w:w="13211"/>
      </w:tblGrid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Amaç</w:t>
            </w:r>
          </w:p>
        </w:tc>
        <w:tc>
          <w:tcPr>
            <w:tcW w:type="dxa" w:w="13209"/>
          </w:tcPr>
          <w:p>
            <w:pPr>
              <w:keepNext/>
            </w:pPr>
            <w:r/>
            <w:r>
              <w:rPr>
                <w:sz w:val="18"/>
              </w:rPr>
              <w:t>Pilot hastane ve EBM operasyon verilerini KVKK ve etik kurul onaylarıyla, kimliksizleştirilmiş ve ortak veri modelinde birleştirilmiş biçimde model geliştirme ve değerlendirmeye hazır hale getirmek.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Sorumlu</w:t>
            </w:r>
          </w:p>
        </w:tc>
        <w:tc>
          <w:tcPr>
            <w:tcW w:type="dxa" w:w="13209"/>
          </w:tcPr>
          <w:p>
            <w:pPr>
              <w:keepNext/>
            </w:pPr>
            <w:r/>
            <w:r>
              <w:rPr>
                <w:sz w:val="18"/>
              </w:rPr>
              <w:t>Klinik operasyon ekibi (veri envanteri, etik kurul, etiketleme); Kalite ve regülasyon (KVKK); Yazılım ekibi (veri modeli, kimliksizleştirme)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Faaliyetler</w:t>
            </w:r>
          </w:p>
        </w:tc>
        <w:tc>
          <w:tcPr>
            <w:tcW w:type="dxa" w:w="13209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İP1.1  Pilot hastaneler ve EBM klinik operasyon verileri için veri envanterinin çıkarılması; etik kurul başvuruları, KVKK etki değerlendirmesi ve veri işleme sözleşmelerinin tamamlanması (Ay 1–3)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İP1.2  Ortak veri modeli taslağının HL7 FHIR/OMOP eşlemeleriyle tamamlanması; protokol, merkez, hasta tarama, aktivasyon, izlem ve sapma verilerinin modele aktarılması (Ay 1–4)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İP1.3  Mevcut kimliksizleştirme modülünün gerçek epikriz, patoloji ve radyoloji raporlarıyla hastane içinde doğrulanması ve olgunlaştırılması (Ay 2–4)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İP1.4  Etiketleme kılavuzuyla klinisyen ve klinik araştırma uzmanlarınca altın standart referans veri setinin oluşturulması (iki etiketleyici ve hakem, etiketleyiciler arası uyum ölçümü) (Ay 3–4)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Çıktılar</w:t>
            </w:r>
          </w:p>
        </w:tc>
        <w:tc>
          <w:tcPr>
            <w:tcW w:type="dxa" w:w="13209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– HL7 FHIR/OMOP uyumlu ortak veri modeli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– Türkçe klinik metin kimliksizleştirme aracı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– Etiketli altın standart referans veri seti ve etiketleyiciler arası uyum raporu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– Veri envanteri, etik kurul onayları ve KVKK etki değerlendirmesi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spacing w:after="0" w:before="0" w:line="240" w:lineRule="auto"/>
            </w:pPr>
            <w:r/>
            <w:r>
              <w:rPr>
                <w:b/>
                <w:sz w:val="18"/>
              </w:rPr>
              <w:t>Başarı ölçütü</w:t>
            </w:r>
          </w:p>
        </w:tc>
        <w:tc>
          <w:tcPr>
            <w:tcW w:type="dxa" w:w="13209"/>
          </w:tcPr>
          <w:p>
            <w:r/>
            <w:r>
              <w:rPr>
                <w:sz w:val="18"/>
              </w:rPr>
              <w:t>Etik kurul ve KVKK onaylarının alınması; ortak veri modeli ve kimliksizleştirme aracının pilot hastane verisi üzerinde çalışır ve elle denetlenmiş olması; etiketli referans veri setinin İP2 ve İP3 değerlendirmelerinde kullanılmaya hazır olması</w:t>
            </w:r>
          </w:p>
        </w:tc>
      </w:tr>
    </w:tbl>
    <w:p>
      <w:pPr>
        <w:keepNext/>
        <w:spacing w:before="160" w:after="80"/>
      </w:pPr>
      <w:r>
        <w:rPr>
          <w:b/>
          <w:color w:val="0F2240"/>
          <w:sz w:val="24"/>
        </w:rPr>
        <w:t>İP2 – Türkçe Klinik Büyük Dil Modeli ve Protokol–Hasta Eşleştirme Motoru (Ay 3–10)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color="C9D1CE"/>
          <w:left w:val="single" w:sz="4" w:color="C9D1CE"/>
          <w:bottom w:val="single" w:sz="4" w:color="C9D1CE"/>
          <w:right w:val="single" w:sz="4" w:color="C9D1CE"/>
          <w:insideH w:val="single" w:sz="4" w:color="C9D1CE"/>
          <w:insideV w:val="single" w:sz="4" w:color="C9D1CE"/>
        </w:tblBorders>
        <w:tblLayout w:type="fixed"/>
        <w:tblW w:w="15138" w:type="dxa"/>
      </w:tblPr>
      <w:tblGrid>
        <w:gridCol w:w="1927"/>
        <w:gridCol w:w="13211"/>
      </w:tblGrid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Amaç</w:t>
            </w:r>
          </w:p>
        </w:tc>
        <w:tc>
          <w:tcPr>
            <w:tcW w:type="dxa" w:w="13209"/>
          </w:tcPr>
          <w:p>
            <w:pPr>
              <w:keepNext/>
            </w:pPr>
            <w:r/>
            <w:r>
              <w:rPr>
                <w:sz w:val="18"/>
              </w:rPr>
              <w:t>Hastane içinde çalışan, Türkçe klinik metni anlayan ve protokol kriterlerini kaynak cümleyle gerekçelendirerek hasta kayıtlarıyla eşleştiren bir model ve eşleştirme motoru elde etmek.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Sorumlu</w:t>
            </w:r>
          </w:p>
        </w:tc>
        <w:tc>
          <w:tcPr>
            <w:tcW w:type="dxa" w:w="13209"/>
          </w:tcPr>
          <w:p>
            <w:pPr>
              <w:keepNext/>
            </w:pPr>
            <w:r/>
            <w:r>
              <w:rPr>
                <w:sz w:val="18"/>
              </w:rPr>
              <w:t>Yapay zekâ ekibi; Klinik operasyon ekibi (kriter ve eşleştirme doğrulaması)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Faaliyetler</w:t>
            </w:r>
          </w:p>
        </w:tc>
        <w:tc>
          <w:tcPr>
            <w:tcW w:type="dxa" w:w="13209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İP2.1  Açık kaynak temel modelin kimliksizleştirilmiş Türkçe tıbbi derlemle alana uyarlanması (sürekli ön eğitim) (Ay 3–6)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İP2.2  Sentetik talimat setinin etiketli gerçek veriyle genişletilmesi ve klinik araştırma görevleri için talimat ince ayarı (Ay 5–8)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İP2.3  Kriter yapılandırma ve RAG tabanlı eşleştirme prototipinin gerçek protokol ve hasta kayıtlarıyla yeniden eğitilmesi ve doğrulanması; her öneride kaynak cümle gösterimi (Ay 6–9)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İP2.4  Halüsinasyon ve belirsizlik kontrol katmanının olgunlaştırılması; nicemlenmiş hastane içi model sürümünün hazırlanması ve referans veri setinde doğrulanması (Ay 8–10)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Çıktılar</w:t>
            </w:r>
          </w:p>
        </w:tc>
        <w:tc>
          <w:tcPr>
            <w:tcW w:type="dxa" w:w="13209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– Hastane içinde (on-premise) çalışan nicemlenmiş Türkçe Klinik Büyük Dil Modeli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– Protokol–hasta eşleştirme modülü (hesaplanabilir kriter sorguları, RAG tabanlı kanıt, kaynak cümle gerekçesi)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– Halüsinasyon ve belirsizlik kontrol katmanı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– Model kartı ve referans veri seti değerlendirme raporu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spacing w:after="0" w:before="0" w:line="240" w:lineRule="auto"/>
            </w:pPr>
            <w:r/>
            <w:r>
              <w:rPr>
                <w:b/>
                <w:sz w:val="18"/>
              </w:rPr>
              <w:t>Başarı ölçütü</w:t>
            </w:r>
          </w:p>
        </w:tc>
        <w:tc>
          <w:tcPr>
            <w:tcW w:type="dxa" w:w="13209"/>
          </w:tcPr>
          <w:p>
            <w:r/>
            <w:r>
              <w:rPr>
                <w:sz w:val="18"/>
              </w:rPr>
              <w:t>Hasta–kriter eşleştirmede duyarlılık ≥%90</w:t>
            </w:r>
          </w:p>
        </w:tc>
      </w:tr>
    </w:tbl>
    <w:p>
      <w:pPr>
        <w:keepNext/>
        <w:spacing w:before="160" w:after="80"/>
      </w:pPr>
      <w:r>
        <w:rPr>
          <w:b/>
          <w:color w:val="0F2240"/>
          <w:sz w:val="24"/>
        </w:rPr>
        <w:t>İP3 – Merkez Zekâsı ve Risk Bazlı İzlem Tahmin Modelleri (Ay 5–12)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color="C9D1CE"/>
          <w:left w:val="single" w:sz="4" w:color="C9D1CE"/>
          <w:bottom w:val="single" w:sz="4" w:color="C9D1CE"/>
          <w:right w:val="single" w:sz="4" w:color="C9D1CE"/>
          <w:insideH w:val="single" w:sz="4" w:color="C9D1CE"/>
          <w:insideV w:val="single" w:sz="4" w:color="C9D1CE"/>
        </w:tblBorders>
        <w:tblLayout w:type="fixed"/>
        <w:tblW w:w="15138" w:type="dxa"/>
      </w:tblPr>
      <w:tblGrid>
        <w:gridCol w:w="1927"/>
        <w:gridCol w:w="13211"/>
      </w:tblGrid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Amaç</w:t>
            </w:r>
          </w:p>
        </w:tc>
        <w:tc>
          <w:tcPr>
            <w:tcW w:type="dxa" w:w="13209"/>
          </w:tcPr>
          <w:p>
            <w:pPr>
              <w:keepNext/>
            </w:pPr>
            <w:r/>
            <w:r>
              <w:rPr>
                <w:sz w:val="18"/>
              </w:rPr>
              <w:t>Merkez seçimi, hasta kazanımı ve aktivasyon gecikmesini öngören ve çalışma yürütümündeki riskleri erken bildiren açıklanabilir modelleri geçmiş operasyon verisiyle doğrulamak.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Sorumlu</w:t>
            </w:r>
          </w:p>
        </w:tc>
        <w:tc>
          <w:tcPr>
            <w:tcW w:type="dxa" w:w="13209"/>
          </w:tcPr>
          <w:p>
            <w:pPr>
              <w:keepNext/>
            </w:pPr>
            <w:r/>
            <w:r>
              <w:rPr>
                <w:sz w:val="18"/>
              </w:rPr>
              <w:t>Yapay zekâ ekibi; Klinik operasyon ekibi (KRI/QTL tanımları, sonuç yorumu)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Faaliyetler</w:t>
            </w:r>
          </w:p>
        </w:tc>
        <w:tc>
          <w:tcPr>
            <w:tcW w:type="dxa" w:w="13209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İP3.1  Merkez ve araştırmacı bazında hiyerarşik Bayesçi kazanım modelinin ortak veri modelindeki geçmiş çalışma verisiyle yeniden eğitilmesi (Ay 5–8)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İP3.2  Etik kurul, TİTCK ve merkez aktivasyon süreleri için sağkalım analizi tabanlı gecikme riski modelinin geliştirilmesi ve doğrulanması (Ay 6–9)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İP3.3  ICH E6(R3) uyumlu anahtar risk göstergeleri ve kalite tolerans limitlerine dayalı erken uyarı motorunun merkezler arası anomali tespitiyle olgunlaştırılması (Ay 7–11)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İP3.4  Az veri koşulları için transfer öğrenme ve açıklanabilirlik yöntemlerinin uygulanması; zaman bazlı ayrılmış veriyle geriye dönük doğrulama (Ay 9–12)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Çıktılar</w:t>
            </w:r>
          </w:p>
        </w:tc>
        <w:tc>
          <w:tcPr>
            <w:tcW w:type="dxa" w:w="13209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– Merkez zekâsı modülü (hiyerarşik Bayesçi kazanım tahmini ve gecikme riski modeli)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– ICH E6(R3) uyumlu risk bazlı izlem erken uyarı motoru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– Merkez ve risk tahminleri için açıklanabilirlik çıktıları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– Geriye dönük doğrulama raporu (MAPE, AUC)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spacing w:after="0" w:before="0" w:line="240" w:lineRule="auto"/>
            </w:pPr>
            <w:r/>
            <w:r>
              <w:rPr>
                <w:b/>
                <w:sz w:val="18"/>
              </w:rPr>
              <w:t>Başarı ölçütü</w:t>
            </w:r>
          </w:p>
        </w:tc>
        <w:tc>
          <w:tcPr>
            <w:tcW w:type="dxa" w:w="13209"/>
          </w:tcPr>
          <w:p>
            <w:r/>
            <w:r>
              <w:rPr>
                <w:sz w:val="18"/>
              </w:rPr>
              <w:t>Kazanım tahmininde MAPE ≤%25, gecikme riskinde AUC ≥0,80</w:t>
            </w:r>
          </w:p>
        </w:tc>
      </w:tr>
    </w:tbl>
    <w:p>
      <w:pPr>
        <w:keepNext/>
        <w:spacing w:before="160" w:after="80"/>
      </w:pPr>
      <w:r>
        <w:rPr>
          <w:b/>
          <w:color w:val="0F2240"/>
          <w:sz w:val="24"/>
        </w:rPr>
        <w:t>İP4 – Platform Entegrasyonu, Siber Güvenlik ve Bilgisayarlı Sistem Validasyonu (Ay 9–15)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color="C9D1CE"/>
          <w:left w:val="single" w:sz="4" w:color="C9D1CE"/>
          <w:bottom w:val="single" w:sz="4" w:color="C9D1CE"/>
          <w:right w:val="single" w:sz="4" w:color="C9D1CE"/>
          <w:insideH w:val="single" w:sz="4" w:color="C9D1CE"/>
          <w:insideV w:val="single" w:sz="4" w:color="C9D1CE"/>
        </w:tblBorders>
        <w:tblLayout w:type="fixed"/>
        <w:tblW w:w="15138" w:type="dxa"/>
      </w:tblPr>
      <w:tblGrid>
        <w:gridCol w:w="1927"/>
        <w:gridCol w:w="13211"/>
      </w:tblGrid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Amaç</w:t>
            </w:r>
          </w:p>
        </w:tc>
        <w:tc>
          <w:tcPr>
            <w:tcW w:type="dxa" w:w="13209"/>
          </w:tcPr>
          <w:p>
            <w:pPr>
              <w:keepNext/>
            </w:pPr>
            <w:r/>
            <w:r>
              <w:rPr>
                <w:sz w:val="18"/>
              </w:rPr>
              <w:t>Eşleştirme, merkez zekâsı ve risk bazlı izlem modüllerini HBYS ve EDC ile entegre, güvenli ve validasyonu tamamlanmış tek platformda birleştirmek.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Sorumlu</w:t>
            </w:r>
          </w:p>
        </w:tc>
        <w:tc>
          <w:tcPr>
            <w:tcW w:type="dxa" w:w="13209"/>
          </w:tcPr>
          <w:p>
            <w:pPr>
              <w:keepNext/>
            </w:pPr>
            <w:r/>
            <w:r>
              <w:rPr>
                <w:sz w:val="18"/>
              </w:rPr>
              <w:t>Yazılım ekibi; Kalite ve regülasyon (validasyon, yaşam döngüsü, güvenlik)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Faaliyetler</w:t>
            </w:r>
          </w:p>
        </w:tc>
        <w:tc>
          <w:tcPr>
            <w:tcW w:type="dxa" w:w="13209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İP4.1  Modüllerin mikroservis mimarisinde tek platformda birleştirilmesi; araştırmacı, CRA ve sponsor karar destek panellerinin olgunlaştırılması (Ay 9–12)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İP4.2  HBYS ve EDC sistemleri için FHIR tabanlı entegrasyon adaptörlerinin pilot hastane sistemleriyle geliştirilmesi ve test edilmesi (Ay 10–13)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İP4.3  Rol bazlı erişim, denetim izi ve elektronik kayıt gerekliliklerinin (EU GMP Annex 11, 21 CFR Part 11) tamamlanması; IEC 62304 ve ISO/IEC 27001 ile uyumlu yaşam döngüsü kayıtları; sızma testleri ve bulguların kapatılması (Ay 11–14)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İP4.4  Taslak validasyon belgelerinin (validasyon planı, kullanıcı gereksinimleri, fonksiyonel spesifikasyon, risk analizi, IQ/OQ/PQ, izlenebilirlik matrisi) tamamlanması ve yürütülmesi (Ay 12–15)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Çıktılar</w:t>
            </w:r>
          </w:p>
        </w:tc>
        <w:tc>
          <w:tcPr>
            <w:tcW w:type="dxa" w:w="13209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– Validasyon dosyası tamamlanmış entegre platform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– HBYS ve EDC için FHIR tabanlı entegrasyon adaptörleri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– Araştırmacı, CRA ve sponsor karar destek panelleri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– Sızma testi raporu ve yazılım yaşam döngüsü kayıtları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spacing w:after="0" w:before="0" w:line="240" w:lineRule="auto"/>
            </w:pPr>
            <w:r/>
            <w:r>
              <w:rPr>
                <w:b/>
                <w:sz w:val="18"/>
              </w:rPr>
              <w:t>Başarı ölçütü</w:t>
            </w:r>
          </w:p>
        </w:tc>
        <w:tc>
          <w:tcPr>
            <w:tcW w:type="dxa" w:w="13209"/>
          </w:tcPr>
          <w:p>
            <w:r/>
            <w:r>
              <w:rPr>
                <w:sz w:val="18"/>
              </w:rPr>
              <w:t>Validasyon dosyasının (IQ/OQ/PQ ve izlenebilirlik matrisi dahil) onaylanması; sızma testinde kritik ve yüksek düzeyde açık bulgu kalmaması</w:t>
            </w:r>
          </w:p>
        </w:tc>
      </w:tr>
    </w:tbl>
    <w:p>
      <w:pPr>
        <w:keepNext/>
        <w:spacing w:before="160" w:after="80"/>
      </w:pPr>
      <w:r>
        <w:rPr>
          <w:b/>
          <w:color w:val="0F2240"/>
          <w:sz w:val="24"/>
        </w:rPr>
        <w:t>İP5 – Gerçek Ortam Pilot Doğrulaması, THS 7 ve Ürünleştirme (Ay 13–18)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color="C9D1CE"/>
          <w:left w:val="single" w:sz="4" w:color="C9D1CE"/>
          <w:bottom w:val="single" w:sz="4" w:color="C9D1CE"/>
          <w:right w:val="single" w:sz="4" w:color="C9D1CE"/>
          <w:insideH w:val="single" w:sz="4" w:color="C9D1CE"/>
          <w:insideV w:val="single" w:sz="4" w:color="C9D1CE"/>
        </w:tblBorders>
        <w:tblLayout w:type="fixed"/>
        <w:tblW w:w="15138" w:type="dxa"/>
      </w:tblPr>
      <w:tblGrid>
        <w:gridCol w:w="1927"/>
        <w:gridCol w:w="13211"/>
      </w:tblGrid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Amaç</w:t>
            </w:r>
          </w:p>
        </w:tc>
        <w:tc>
          <w:tcPr>
            <w:tcW w:type="dxa" w:w="13209"/>
          </w:tcPr>
          <w:p>
            <w:pPr>
              <w:keepNext/>
            </w:pPr>
            <w:r/>
            <w:r>
              <w:rPr>
                <w:sz w:val="18"/>
              </w:rPr>
              <w:t>Platformu üç pilot hastanede ve EBM'nin aktif çalışmalarında prospektif gölge modda doğrulayarak THS 7 düzeyine ulaştırmak ve lisanslanabilir ürün haline getirmek.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Sorumlu</w:t>
            </w:r>
          </w:p>
        </w:tc>
        <w:tc>
          <w:tcPr>
            <w:tcW w:type="dxa" w:w="13209"/>
          </w:tcPr>
          <w:p>
            <w:pPr>
              <w:keepNext/>
            </w:pPr>
            <w:r/>
            <w:r>
              <w:rPr>
                <w:sz w:val="18"/>
              </w:rPr>
              <w:t>Klinik operasyon ekibi (pilot yürütümü, karşılaştırma); Kalite ve regülasyon (kabul testi, sınıflandırma, dokümantasyon); Yazılım ekibi (kurulum ve destek)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Faaliyetler</w:t>
            </w:r>
          </w:p>
        </w:tc>
        <w:tc>
          <w:tcPr>
            <w:tcW w:type="dxa" w:w="13209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İP5.1  En az biri onkoloji merkezi olan üç pilot hastanede ve EBM'nin aktif çalışmalarında hastane içi kurulum ve prospektif gölge mod yürütümü (Ay 13–17)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İP5.2  Platform önerilerinin manuel ön tarama ve fizibilite sonuçlarıyla karşılaştırılması; ön tarama süresinin ölçülmesi (Ay 14–18)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İP5.3  Kullanıcı kabul testleri, regülasyon sınıflandırma analizi ve teknik dokümantasyonun tamamlanması (Ay 15–18)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İP5.4  Lisans/SaaS ve on-premise iş modeli, fikri haklar (yazılım tescili, patent başvurusu) ve yaygınlaştırma planının hazırlanması (Ay 16–18)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keepNext/>
              <w:spacing w:after="0" w:before="0" w:line="240" w:lineRule="auto"/>
            </w:pPr>
            <w:r/>
            <w:r>
              <w:rPr>
                <w:b/>
                <w:sz w:val="18"/>
              </w:rPr>
              <w:t>Çıktılar</w:t>
            </w:r>
          </w:p>
        </w:tc>
        <w:tc>
          <w:tcPr>
            <w:tcW w:type="dxa" w:w="13209"/>
          </w:tcPr>
          <w:p>
            <w:pPr>
              <w:keepNext/>
              <w:spacing w:after="20"/>
            </w:pPr>
            <w:r/>
            <w:r>
              <w:rPr>
                <w:sz w:val="18"/>
              </w:rPr>
              <w:t>– Üç pilot hastanede prospektif gölge mod doğrulama raporu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– Kullanıcı kabul testi tutanakları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– Regülasyon sınıflandırma analizi ve teknik dokümantasyon</w:t>
            </w:r>
          </w:p>
          <w:p>
            <w:pPr>
              <w:keepNext/>
              <w:spacing w:after="20"/>
            </w:pPr>
            <w:r>
              <w:rPr>
                <w:sz w:val="18"/>
              </w:rPr>
              <w:t>– SaaS/on-premise lisans modeli, yazılım tescili ve patent başvurusu, yaygınlaştırma planı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4F3"/>
          </w:tcPr>
          <w:p>
            <w:pPr>
              <w:spacing w:after="0" w:before="0" w:line="240" w:lineRule="auto"/>
            </w:pPr>
            <w:r/>
            <w:r>
              <w:rPr>
                <w:b/>
                <w:sz w:val="18"/>
              </w:rPr>
              <w:t>Başarı ölçütü</w:t>
            </w:r>
          </w:p>
        </w:tc>
        <w:tc>
          <w:tcPr>
            <w:tcW w:type="dxa" w:w="13209"/>
          </w:tcPr>
          <w:p>
            <w:r/>
            <w:r>
              <w:rPr>
                <w:sz w:val="18"/>
              </w:rPr>
              <w:t>Ön tarama süresinde ≥%50 azalma; operasyonel ortamda doğrulanmış ürün (THS 7)</w:t>
            </w:r>
          </w:p>
        </w:tc>
      </w:tr>
    </w:tbl>
    <w:p>
      <w:pPr>
        <w:pageBreakBefore/>
        <w:spacing w:before="200" w:after="80"/>
      </w:pPr>
      <w:r>
        <w:rPr>
          <w:b/>
          <w:color w:val="0F2240"/>
          <w:sz w:val="32"/>
        </w:rPr>
        <w:t>3. Kilometre taşları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color="C9D1CE"/>
          <w:left w:val="single" w:sz="4" w:color="C9D1CE"/>
          <w:bottom w:val="single" w:sz="4" w:color="C9D1CE"/>
          <w:right w:val="single" w:sz="4" w:color="C9D1CE"/>
          <w:insideH w:val="single" w:sz="4" w:color="C9D1CE"/>
          <w:insideV w:val="single" w:sz="4" w:color="C9D1CE"/>
        </w:tblBorders>
        <w:tblLayout w:type="fixed"/>
        <w:tblW w:w="15138" w:type="dxa"/>
      </w:tblPr>
      <w:tblGrid>
        <w:gridCol w:w="907"/>
        <w:gridCol w:w="793"/>
        <w:gridCol w:w="5783"/>
        <w:gridCol w:w="7654"/>
      </w:tblGrid>
      <w:tr>
        <w:tc>
          <w:tcPr>
            <w:tcW w:type="dxa" w:w="907"/>
            <w:vAlign w:val="center"/>
            <w:shd w:val="clear" w:color="auto" w:fill="0F2240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8"/>
              </w:rPr>
              <w:t>Kod</w:t>
            </w:r>
          </w:p>
        </w:tc>
        <w:tc>
          <w:tcPr>
            <w:tcW w:type="dxa" w:w="794"/>
            <w:vAlign w:val="center"/>
            <w:shd w:val="clear" w:color="auto" w:fill="0F2240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8"/>
              </w:rPr>
              <w:t>Ay</w:t>
            </w:r>
          </w:p>
        </w:tc>
        <w:tc>
          <w:tcPr>
            <w:tcW w:type="dxa" w:w="5783"/>
            <w:vAlign w:val="center"/>
            <w:shd w:val="clear" w:color="auto" w:fill="0F2240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8"/>
              </w:rPr>
              <w:t>Kilometre taşı</w:t>
            </w:r>
          </w:p>
        </w:tc>
        <w:tc>
          <w:tcPr>
            <w:tcW w:type="dxa" w:w="7654"/>
            <w:vAlign w:val="center"/>
            <w:shd w:val="clear" w:color="auto" w:fill="0F2240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8"/>
              </w:rPr>
              <w:t>Doğrulama yöntemi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8"/>
              </w:rPr>
              <w:t>KT1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78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Pilot hastanelerde etik kurul ve KVKK onaylarının alınması</w:t>
            </w:r>
          </w:p>
        </w:tc>
        <w:tc>
          <w:tcPr>
            <w:tcW w:type="dxa" w:w="765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Etik kurul onay yazıları, KVKK etki değerlendirmesi ve imzalı veri işleme sözleşmeleri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8"/>
              </w:rPr>
              <w:t>KT2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8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Ortak veri modeli, kimliksizleştirme aracı ve etiketli referans veri setinin tamamlanması</w:t>
            </w:r>
          </w:p>
        </w:tc>
        <w:tc>
          <w:tcPr>
            <w:tcW w:type="dxa" w:w="765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Veri seti sürüm notu, etiketleyiciler arası uyum raporu ve kimliksizleştirme elle denetim raporu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8"/>
              </w:rPr>
              <w:t>KT3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78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Nicemlenmiş hastane içi Türkçe Klinik BDM ve eşleştirme motorunun hazır olması (duyarlılık ≥%90)</w:t>
            </w:r>
          </w:p>
        </w:tc>
        <w:tc>
          <w:tcPr>
            <w:tcW w:type="dxa" w:w="765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Referans veri seti üzerinde bağımsız değerlendirme raporu ve model kartı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8"/>
              </w:rPr>
              <w:t>KT4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578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Merkez zekâsı ve risk bazlı izlem modellerinin doğrulanması (MAPE ≤%25, AUC ≥0,80)</w:t>
            </w:r>
          </w:p>
        </w:tc>
        <w:tc>
          <w:tcPr>
            <w:tcW w:type="dxa" w:w="765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Zaman bazlı ayrılmış geçmiş operasyon verisiyle geriye dönük doğrulama raporu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8"/>
              </w:rPr>
              <w:t>KT5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578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Pilot hastanelerde hastane içi kurulumun tamamlanması ve gölge modun başlaması</w:t>
            </w:r>
          </w:p>
        </w:tc>
        <w:tc>
          <w:tcPr>
            <w:tcW w:type="dxa" w:w="765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Her pilot hastane için IQ kayıtları ve gölge mod başlangıç tutanağı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8"/>
              </w:rPr>
              <w:t>KT6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78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Validasyon dosyası tamamlanmış entegre platform</w:t>
            </w:r>
          </w:p>
        </w:tc>
        <w:tc>
          <w:tcPr>
            <w:tcW w:type="dxa" w:w="765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Onaylı OQ/PQ raporları, izlenebilirlik matrisi ve sızma testi kapanış raporu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8"/>
              </w:rPr>
              <w:t>KT7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578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Gerçek ortam pilot doğrulamasının tamamlanması (ön tarama süresinde ≥%50 azalma, THS 7)</w:t>
            </w:r>
          </w:p>
        </w:tc>
        <w:tc>
          <w:tcPr>
            <w:tcW w:type="dxa" w:w="765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Gölge mod karşılaştırma raporu ve imzalı kullanıcı kabul testi tutanakları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/>
                <w:sz w:val="18"/>
              </w:rPr>
              <w:t>KT8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578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Ürünleştirme paketinin tamamlanması</w:t>
            </w:r>
          </w:p>
        </w:tc>
        <w:tc>
          <w:tcPr>
            <w:tcW w:type="dxa" w:w="765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Yazılım tescili ve patent başvuru belgeleri, regülasyon sınıflandırma analizi, lisans modeli ve yaygınlaştırma planı</w:t>
            </w:r>
          </w:p>
        </w:tc>
      </w:tr>
    </w:tbl>
    <w:p>
      <w:pPr>
        <w:spacing w:before="200" w:after="80"/>
      </w:pPr>
      <w:r>
        <w:rPr>
          <w:b/>
          <w:color w:val="0F2240"/>
          <w:sz w:val="32"/>
        </w:rPr>
        <w:t>4. Riskler ve B planı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color="C9D1CE"/>
          <w:left w:val="single" w:sz="4" w:color="C9D1CE"/>
          <w:bottom w:val="single" w:sz="4" w:color="C9D1CE"/>
          <w:right w:val="single" w:sz="4" w:color="C9D1CE"/>
          <w:insideH w:val="single" w:sz="4" w:color="C9D1CE"/>
          <w:insideV w:val="single" w:sz="4" w:color="C9D1CE"/>
        </w:tblBorders>
        <w:tblLayout w:type="fixed"/>
        <w:tblW w:w="15138" w:type="dxa"/>
      </w:tblPr>
      <w:tblGrid>
        <w:gridCol w:w="3515"/>
        <w:gridCol w:w="1077"/>
        <w:gridCol w:w="1077"/>
        <w:gridCol w:w="9468"/>
      </w:tblGrid>
      <w:tr>
        <w:tc>
          <w:tcPr>
            <w:tcW w:type="dxa" w:w="3515"/>
            <w:vAlign w:val="center"/>
            <w:shd w:val="clear" w:color="auto" w:fill="0F2240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077"/>
            <w:vAlign w:val="center"/>
            <w:shd w:val="clear" w:color="auto" w:fill="0F2240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8"/>
              </w:rPr>
              <w:t>İş paketi</w:t>
            </w:r>
          </w:p>
        </w:tc>
        <w:tc>
          <w:tcPr>
            <w:tcW w:type="dxa" w:w="1077"/>
            <w:vAlign w:val="center"/>
            <w:shd w:val="clear" w:color="auto" w:fill="0F2240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8"/>
              </w:rPr>
              <w:t>Olasılık</w:t>
            </w:r>
          </w:p>
        </w:tc>
        <w:tc>
          <w:tcPr>
            <w:tcW w:type="dxa" w:w="9468"/>
            <w:vAlign w:val="center"/>
            <w:shd w:val="clear" w:color="auto" w:fill="0F2240"/>
          </w:tcPr>
          <w:p>
            <w:pPr>
              <w:spacing w:after="0" w:before="0" w:line="240" w:lineRule="auto"/>
            </w:pPr>
            <w:r/>
            <w:r>
              <w:rPr>
                <w:b/>
                <w:color w:val="FFFFFF"/>
                <w:sz w:val="18"/>
              </w:rPr>
              <w:t>Önlem / B planı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Etik kurul veya KVKK onaylarının gecikmesi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İP1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Orta</w:t>
            </w:r>
          </w:p>
        </w:tc>
        <w:tc>
          <w:tcPr>
            <w:tcW w:type="dxa" w:w="94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Üç pilot hastanede başvurular Ay 1'de paralel açılır; bir yedek hastane ile ön görüşme yapılır. Onay beklenirken model geliştirme sentetik ve kamuya açık derlem ile EBM'nin anonim operasyon verisi üzerinde sürer.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Pilot hastanede HBYS veri erişiminin veya entegrasyonunun gecikmesi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İP4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Orta</w:t>
            </w:r>
          </w:p>
        </w:tc>
        <w:tc>
          <w:tcPr>
            <w:tcW w:type="dxa" w:w="94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Hastane bilgi işlem birimiyle Ay 9'dan önce teknik gereksinim toplantısı yapılır; doğrudan bağlantı kurulamazsa mevcut CSV ve FHIR Bundle toplu yükleme yolu hastane içinde kullanılır.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Hasta–kriter eşleştirmede duyarlılık ≥%90 ölçütünün tutmaması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İP2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Orta</w:t>
            </w:r>
          </w:p>
        </w:tc>
        <w:tc>
          <w:tcPr>
            <w:tcW w:type="dxa" w:w="94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Ay 8'de ara değerlendirme yapılır; yetersizse hedefli ek etiketleme turu, daha büyük temel model veya kural tabanlı ön filtre ile model birleşimi denenir; belirsiz kararlar araştırmacı incelemesine yönlendirilir.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Az veri nedeniyle MAPE ≤%25 veya AUC ≥0,80 ölçütünün tutmaması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İP3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Orta</w:t>
            </w:r>
          </w:p>
        </w:tc>
        <w:tc>
          <w:tcPr>
            <w:tcW w:type="dxa" w:w="94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Hiyerarşik önsel ve transfer öğrenme kullanılır; sponsor izniyle ek geçmiş çalışma verisi eklenir; tahminler güven aralığıyla sunulur ve ölçüt dışı kalan merkez tipleri raporda ayrı gösterilir.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Pilot hastanelerde hastane içi model için donanımın (GPU) yetersiz kalması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İP2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Düşük</w:t>
            </w:r>
          </w:p>
        </w:tc>
        <w:tc>
          <w:tcPr>
            <w:tcW w:type="dxa" w:w="94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Nicemlenmiş sürüm tek GPU veya CPU üzerinde ölçülür; donanım yetersizse kural tabanlı yol çalışmayı sürdürür ve donanım ihtiyacı pilot sözleşmesinde baştan tanımlanır.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Gölge mod süresinde yeterli tarama hacmine ulaşılamaması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İP5</w:t>
            </w:r>
          </w:p>
        </w:tc>
        <w:tc>
          <w:tcPr>
            <w:tcW w:type="dxa" w:w="1077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b w:val="0"/>
                <w:sz w:val="18"/>
              </w:rPr>
              <w:t>Orta</w:t>
            </w:r>
          </w:p>
        </w:tc>
        <w:tc>
          <w:tcPr>
            <w:tcW w:type="dxa" w:w="94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b w:val="0"/>
                <w:sz w:val="18"/>
              </w:rPr>
              <w:t>Gölge mod EBM'nin yürüttüğü birden fazla aktif çalışmaya yayılır; hacim düşük kalırsa aynı merkezlerde son dönem tarama kayıtlarıyla geriye dönük karşılaştırma eklenir ve ayrı raporlanır.</w:t>
            </w:r>
          </w:p>
        </w:tc>
      </w:tr>
    </w:tbl>
    <w:sectPr w:rsidR="00FC693F" w:rsidRPr="0006063C" w:rsidSect="00034616"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