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56A0" w:val="clear"/>
            <w:tcMar>
              <w:top w:type="dxa" w:w="200"/>
              <w:left w:type="dxa" w:w="300"/>
              <w:bottom w:type="dxa" w:w="200"/>
              <w:right w:type="dxa" w:w="300"/>
            </w:tcMar>
          </w:tcPr>
          <w:p>
            <w:pPr>
              <w:jc w:val="center"/>
            </w:pPr>
            <w:r>
              <w:rPr>
                <w:rFonts w:ascii="Arial" w:cs="Arial" w:eastAsia="Arial" w:hAnsi="Arial"/>
                <w:b/>
                <w:bCs/>
                <w:color w:val="FFFFFF"/>
                <w:sz w:val="36"/>
                <w:szCs w:val="36"/>
              </w:rPr>
              <w:t xml:space="preserve">GenService Platform</w:t>
            </w:r>
          </w:p>
          <w:p>
            <w:pPr>
              <w:jc w:val="center"/>
            </w:pPr>
            <w:r>
              <w:rPr>
                <w:rFonts w:ascii="Arial" w:cs="Arial" w:eastAsia="Arial" w:hAnsi="Arial"/>
                <w:color w:val="BDD7F5"/>
                <w:sz w:val="20"/>
                <w:szCs w:val="20"/>
              </w:rPr>
              <w:t xml:space="preserve">General Service Department  ·  Desicon Group</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2"/>
                <w:szCs w:val="22"/>
              </w:rPr>
              <w:t xml:space="preserve">To:</w:t>
            </w:r>
          </w:p>
        </w:tc>
        <w:tc>
          <w:tcPr>
            <w:tcW w:type="dxa" w:w="7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2"/>
                <w:szCs w:val="22"/>
              </w:rPr>
              <w:t xml:space="preserve">General Service Team, Desicon Group</w:t>
            </w:r>
          </w:p>
        </w:tc>
      </w:tr>
      <w:tr>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2"/>
                <w:szCs w:val="22"/>
              </w:rPr>
              <w:t xml:space="preserve">From:</w:t>
            </w:r>
          </w:p>
        </w:tc>
        <w:tc>
          <w:tcPr>
            <w:tcW w:type="dxa" w:w="7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2"/>
                <w:szCs w:val="22"/>
              </w:rPr>
              <w:t xml:space="preserve">Aihe Bholoria  |  Department Manager, General Service</w:t>
            </w:r>
          </w:p>
        </w:tc>
      </w:tr>
      <w:tr>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2"/>
                <w:szCs w:val="22"/>
              </w:rPr>
              <w:t xml:space="preserve">Date:</w:t>
            </w:r>
          </w:p>
        </w:tc>
        <w:tc>
          <w:tcPr>
            <w:tcW w:type="dxa" w:w="7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2"/>
                <w:szCs w:val="22"/>
              </w:rPr>
              <w:t xml:space="preserve">25 June 2026</w:t>
            </w:r>
          </w:p>
        </w:tc>
      </w:tr>
      <w:tr>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2"/>
                <w:szCs w:val="22"/>
              </w:rPr>
              <w:t xml:space="preserve">Subject:</w:t>
            </w:r>
          </w:p>
        </w:tc>
        <w:tc>
          <w:tcPr>
            <w:tcW w:type="dxa" w:w="7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2"/>
                <w:szCs w:val="22"/>
              </w:rPr>
              <w:t xml:space="preserve">Launch of the GenService Platform — Action Required</w:t>
            </w:r>
          </w:p>
        </w:tc>
      </w:tr>
      <w:tr>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2"/>
                <w:szCs w:val="22"/>
              </w:rPr>
              <w:t xml:space="preserve">Attached:</w:t>
            </w:r>
          </w:p>
        </w:tc>
        <w:tc>
          <w:tcPr>
            <w:tcW w:type="dxa" w:w="7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i/>
                <w:iCs/>
                <w:color w:val="1A56A0"/>
                <w:sz w:val="22"/>
                <w:szCs w:val="22"/>
              </w:rPr>
              <w:t xml:space="preserve">GenService Platform — User Workflow Guide.docx</w:t>
            </w:r>
          </w:p>
        </w:tc>
      </w:tr>
    </w:tbl>
    <w:p>
      <w:pPr>
        <w:spacing w:after="0" w:before="140"/>
      </w:pPr>
      <w:r>
        <w:t xml:space="preserve"/>
      </w:r>
    </w:p>
    <w:p>
      <w:pPr>
        <w:spacing w:after="80" w:before="80"/>
      </w:pPr>
      <w:r>
        <w:rPr>
          <w:rFonts w:ascii="Arial" w:cs="Arial" w:eastAsia="Arial" w:hAnsi="Arial"/>
          <w:sz w:val="23"/>
          <w:szCs w:val="23"/>
        </w:rPr>
        <w:t xml:space="preserve">Team,</w:t>
      </w:r>
    </w:p>
    <w:p>
      <w:pPr>
        <w:spacing w:after="0" w:before="40"/>
      </w:pPr>
      <w:r>
        <w:t xml:space="preserve"/>
      </w:r>
    </w:p>
    <w:p>
      <w:pPr>
        <w:spacing w:after="80" w:before="80"/>
      </w:pPr>
      <w:r>
        <w:rPr>
          <w:rFonts w:ascii="Arial" w:cs="Arial" w:eastAsia="Arial" w:hAnsi="Arial"/>
          <w:sz w:val="23"/>
          <w:szCs w:val="23"/>
        </w:rPr>
        <w:t xml:space="preserve">I am pleased to announce that the GenService Platform is now live. This system has been built specifically for our department to replace the manual processes we have been using for request management, maintenance tracking, team activity logging, and operational reporting.</w:t>
      </w:r>
    </w:p>
    <w:p>
      <w:pPr>
        <w:spacing w:after="0" w:before="40"/>
      </w:pPr>
      <w:r>
        <w:t xml:space="preserve"/>
      </w:r>
    </w:p>
    <w:p>
      <w:pPr>
        <w:spacing w:after="80" w:before="80"/>
      </w:pPr>
      <w:r>
        <w:rPr>
          <w:rFonts w:ascii="Arial" w:cs="Arial" w:eastAsia="Arial" w:hAnsi="Arial"/>
          <w:sz w:val="23"/>
          <w:szCs w:val="23"/>
        </w:rPr>
        <w:t xml:space="preserve">The platform is accessible immediately at:</w:t>
      </w:r>
    </w:p>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FF7ED" w:val="clear"/>
            <w:tcMar>
              <w:top w:type="dxa" w:w="120"/>
              <w:left w:type="dxa" w:w="240"/>
              <w:bottom w:type="dxa" w:w="120"/>
              <w:right w:type="dxa" w:w="240"/>
            </w:tcMar>
          </w:tcPr>
          <w:p>
            <w:pPr>
              <w:jc w:val="center"/>
            </w:pPr>
            <w:r>
              <w:rPr>
                <w:rFonts w:ascii="Arial" w:cs="Arial" w:eastAsia="Arial" w:hAnsi="Arial"/>
                <w:b/>
                <w:bCs/>
                <w:color w:val="1A56A0"/>
                <w:sz w:val="26"/>
                <w:szCs w:val="26"/>
              </w:rPr>
              <w:t xml:space="preserve">https://genservice.desiconapp.com</w:t>
            </w:r>
          </w:p>
        </w:tc>
      </w:tr>
    </w:tbl>
    <w:p>
      <w:pPr>
        <w:spacing w:after="0" w:before="100"/>
      </w:pPr>
      <w:r>
        <w:t xml:space="preserve"/>
      </w:r>
    </w:p>
    <w:p>
      <w:pPr>
        <w:spacing w:after="80" w:before="80"/>
      </w:pPr>
      <w:r>
        <w:rPr>
          <w:rFonts w:ascii="Arial" w:cs="Arial" w:eastAsia="Arial" w:hAnsi="Arial"/>
          <w:sz w:val="23"/>
          <w:szCs w:val="23"/>
        </w:rPr>
        <w:t xml:space="preserve">Sign in using your Desicon Group Microsoft work account (@desicongroup.com). No separate password is needed — just click 'Sign in with Microsoft' and use the same account you use for your email and Teams.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EF4FB" w:val="clear"/>
            <w:tcMar>
              <w:top w:type="dxa" w:w="40"/>
              <w:left w:type="dxa" w:w="40"/>
              <w:bottom w:type="dxa" w:w="40"/>
              <w:right w:type="dxa" w:w="40"/>
            </w:tcMar>
          </w:tcPr>
          <w:p>
            <w:pPr>
              <w:spacing w:after="60" w:before="60"/>
            </w:pPr>
            <w:r>
              <w:rPr>
                <w:rFonts w:ascii="Arial" w:cs="Arial" w:eastAsia="Arial" w:hAnsi="Arial"/>
                <w:b/>
                <w:bCs/>
                <w:color w:val="1A56A0"/>
                <w:sz w:val="23"/>
                <w:szCs w:val="23"/>
              </w:rPr>
              <w:t xml:space="preserve">What I need from everyone before we go fully live:</w:t>
            </w:r>
          </w:p>
          <w:p>
            <w:pPr>
              <w:spacing w:after="0" w:before="20"/>
            </w:pPr>
            <w:r>
              <w:t xml:space="preserve"/>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800"/>
              <w:gridCol w:w="8480"/>
            </w:tblGrid>
            <w:tr>
              <w:tc>
                <w:tcPr>
                  <w:tcW w:type="dxa" w:w="80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1</w:t>
                  </w:r>
                </w:p>
              </w:tc>
              <w:tc>
                <w:tcPr>
                  <w:tcW w:type="dxa" w:w="8560"/>
                  <w:tcBorders>
                    <w:top w:val="single" w:color="D1D5DB" w:sz="1"/>
                    <w:left w:val="single" w:color="D1D5DB" w:sz="1"/>
                    <w:bottom w:val="single" w:color="D1D5DB" w:sz="1"/>
                    <w:right w:val="single" w:color="D1D5DB" w:sz="1"/>
                  </w:tcBorders>
                  <w:shd w:fill="F9FAFB" w:val="clear"/>
                  <w:tcMar>
                    <w:top w:type="dxa" w:w="100"/>
                    <w:left w:type="dxa" w:w="180"/>
                    <w:bottom w:type="dxa" w:w="100"/>
                    <w:right w:type="dxa" w:w="120"/>
                  </w:tcMar>
                </w:tcPr>
                <w:p>
                  <w:r>
                    <w:rPr>
                      <w:rFonts w:ascii="Arial" w:cs="Arial" w:eastAsia="Arial" w:hAnsi="Arial"/>
                      <w:sz w:val="22"/>
                      <w:szCs w:val="22"/>
                    </w:rPr>
                    <w:t xml:space="preserve">Sign in to the platform and confirm your account is working correctly.</w:t>
                  </w:r>
                </w:p>
              </w:tc>
            </w:tr>
            <w:tr>
              <w:tc>
                <w:tcPr>
                  <w:tcW w:type="dxa" w:w="80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2</w:t>
                  </w:r>
                </w:p>
              </w:tc>
              <w:tc>
                <w:tcPr>
                  <w:tcW w:type="dxa" w:w="856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20"/>
                  </w:tcMar>
                </w:tcPr>
                <w:p>
                  <w:r>
                    <w:rPr>
                      <w:rFonts w:ascii="Arial" w:cs="Arial" w:eastAsia="Arial" w:hAnsi="Arial"/>
                      <w:sz w:val="22"/>
                      <w:szCs w:val="22"/>
                    </w:rPr>
                    <w:t xml:space="preserve">Review the attached User Workflow Guide — it walks you through every module step by step and explains what you are expected to do on the system.</w:t>
                  </w:r>
                </w:p>
              </w:tc>
            </w:tr>
            <w:tr>
              <w:tc>
                <w:tcPr>
                  <w:tcW w:type="dxa" w:w="80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3</w:t>
                  </w:r>
                </w:p>
              </w:tc>
              <w:tc>
                <w:tcPr>
                  <w:tcW w:type="dxa" w:w="8560"/>
                  <w:tcBorders>
                    <w:top w:val="single" w:color="D1D5DB" w:sz="1"/>
                    <w:left w:val="single" w:color="D1D5DB" w:sz="1"/>
                    <w:bottom w:val="single" w:color="D1D5DB" w:sz="1"/>
                    <w:right w:val="single" w:color="D1D5DB" w:sz="1"/>
                  </w:tcBorders>
                  <w:shd w:fill="F9FAFB" w:val="clear"/>
                  <w:tcMar>
                    <w:top w:type="dxa" w:w="100"/>
                    <w:left w:type="dxa" w:w="180"/>
                    <w:bottom w:type="dxa" w:w="100"/>
                    <w:right w:type="dxa" w:w="120"/>
                  </w:tcMar>
                </w:tcPr>
                <w:p>
                  <w:r>
                    <w:rPr>
                      <w:rFonts w:ascii="Arial" w:cs="Arial" w:eastAsia="Arial" w:hAnsi="Arial"/>
                      <w:sz w:val="22"/>
                      <w:szCs w:val="22"/>
                    </w:rPr>
                    <w:t xml:space="preserve">Supervisors: create your team members' accounts via User Management before assigning requests to them.</w:t>
                  </w:r>
                </w:p>
              </w:tc>
            </w:tr>
            <w:tr>
              <w:tc>
                <w:tcPr>
                  <w:tcW w:type="dxa" w:w="80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4</w:t>
                  </w:r>
                </w:p>
              </w:tc>
              <w:tc>
                <w:tcPr>
                  <w:tcW w:type="dxa" w:w="856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20"/>
                  </w:tcMar>
                </w:tcPr>
                <w:p>
                  <w:r>
                    <w:rPr>
                      <w:rFonts w:ascii="Arial" w:cs="Arial" w:eastAsia="Arial" w:hAnsi="Arial"/>
                      <w:sz w:val="22"/>
                      <w:szCs w:val="22"/>
                    </w:rPr>
                    <w:t xml:space="preserve">Begin logging your current open tasks and ongoing maintenance activities in the system from today.</w:t>
                  </w:r>
                </w:p>
              </w:tc>
            </w:tr>
            <w:tr>
              <w:tc>
                <w:tcPr>
                  <w:tcW w:type="dxa" w:w="80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5</w:t>
                  </w:r>
                </w:p>
              </w:tc>
              <w:tc>
                <w:tcPr>
                  <w:tcW w:type="dxa" w:w="8560"/>
                  <w:tcBorders>
                    <w:top w:val="single" w:color="D1D5DB" w:sz="1"/>
                    <w:left w:val="single" w:color="D1D5DB" w:sz="1"/>
                    <w:bottom w:val="single" w:color="D1D5DB" w:sz="1"/>
                    <w:right w:val="single" w:color="D1D5DB" w:sz="1"/>
                  </w:tcBorders>
                  <w:shd w:fill="F9FAFB" w:val="clear"/>
                  <w:tcMar>
                    <w:top w:type="dxa" w:w="100"/>
                    <w:left w:type="dxa" w:w="180"/>
                    <w:bottom w:type="dxa" w:w="100"/>
                    <w:right w:type="dxa" w:w="120"/>
                  </w:tcMar>
                </w:tcPr>
                <w:p>
                  <w:r>
                    <w:rPr>
                      <w:rFonts w:ascii="Arial" w:cs="Arial" w:eastAsia="Arial" w:hAnsi="Arial"/>
                      <w:sz w:val="22"/>
                      <w:szCs w:val="22"/>
                    </w:rPr>
                    <w:t xml:space="preserve">Send me any access issues, errors, or questions by end of this week so they are resolved before full rollout.</w:t>
                  </w:r>
                </w:p>
              </w:tc>
            </w:tr>
          </w:tbl>
          <w:p>
            <w:pPr>
              <w:spacing w:after="0" w:before="40"/>
            </w:pPr>
            <w:r>
              <w:t xml:space="preserve"/>
            </w:r>
          </w:p>
        </w:tc>
      </w:tr>
    </w:tbl>
    <w:p>
      <w:pPr>
        <w:spacing w:after="0" w:before="100"/>
      </w:pPr>
      <w:r>
        <w:t xml:space="preserve"/>
      </w:r>
    </w:p>
    <w:p>
      <w:pPr>
        <w:spacing w:after="80" w:before="80"/>
      </w:pPr>
      <w:r>
        <w:rPr>
          <w:rFonts w:ascii="Arial" w:cs="Arial" w:eastAsia="Arial" w:hAnsi="Arial"/>
          <w:sz w:val="23"/>
          <w:szCs w:val="23"/>
        </w:rPr>
        <w:t xml:space="preserve">This system will give all of us — and management — much better visibility into everything the department is doing. I expect it to significantly reduce the back-and-forth and the follow-up messages we currently deal with for every request.</w:t>
      </w:r>
    </w:p>
    <w:p>
      <w:pPr>
        <w:spacing w:after="0" w:before="40"/>
      </w:pPr>
      <w:r>
        <w:t xml:space="preserve"/>
      </w:r>
    </w:p>
    <w:p>
      <w:pPr>
        <w:spacing w:after="80" w:before="80"/>
      </w:pPr>
      <w:r>
        <w:rPr>
          <w:rFonts w:ascii="Arial" w:cs="Arial" w:eastAsia="Arial" w:hAnsi="Arial"/>
          <w:sz w:val="23"/>
          <w:szCs w:val="23"/>
        </w:rPr>
        <w:t xml:space="preserve">The workflow guide attached to this email covers everything in detail. Please read it before your first log-in. If anything is unclear or missing from the guide, let me know and I will update it.</w:t>
      </w:r>
    </w:p>
    <w:p>
      <w:pPr>
        <w:spacing w:after="0" w:before="40"/>
      </w:pPr>
      <w:r>
        <w:t xml:space="preserve"/>
      </w:r>
    </w:p>
    <w:p>
      <w:pPr>
        <w:spacing w:after="80" w:before="80"/>
      </w:pPr>
      <w:r>
        <w:rPr>
          <w:rFonts w:ascii="Arial" w:cs="Arial" w:eastAsia="Arial" w:hAnsi="Arial"/>
          <w:sz w:val="23"/>
          <w:szCs w:val="23"/>
        </w:rPr>
        <w:t xml:space="preserve">I am available to walk through the platform with anyone who needs it. We will also hold a short group walkthrough session — I will share the time shortly.</w:t>
      </w:r>
    </w:p>
    <w:p>
      <w:pPr>
        <w:spacing w:after="0" w:before="100"/>
      </w:pPr>
      <w:r>
        <w:t xml:space="preserve"/>
      </w:r>
    </w:p>
    <w:p>
      <w:pPr>
        <w:spacing w:after="80" w:before="80"/>
      </w:pPr>
      <w:r>
        <w:rPr>
          <w:rFonts w:ascii="Arial" w:cs="Arial" w:eastAsia="Arial" w:hAnsi="Arial"/>
          <w:sz w:val="23"/>
          <w:szCs w:val="23"/>
        </w:rPr>
        <w:t xml:space="preserve">Thank you, and let us make this work.</w:t>
      </w:r>
    </w:p>
    <w:p>
      <w:pPr>
        <w:spacing w:after="0" w:before="60"/>
      </w:pPr>
      <w:r>
        <w:t xml:space="preserve"/>
      </w:r>
    </w:p>
    <w:p>
      <w:pPr>
        <w:spacing w:after="80" w:before="80"/>
      </w:pPr>
      <w:r>
        <w:rPr>
          <w:rFonts w:ascii="Arial" w:cs="Arial" w:eastAsia="Arial" w:hAnsi="Arial"/>
          <w:b/>
          <w:bCs/>
          <w:sz w:val="23"/>
          <w:szCs w:val="23"/>
        </w:rPr>
        <w:t xml:space="preserve">Aihe Bholoria</w:t>
      </w:r>
    </w:p>
    <w:p>
      <w:pPr>
        <w:spacing w:after="80" w:before="80"/>
      </w:pPr>
      <w:r>
        <w:rPr>
          <w:rFonts w:ascii="Arial" w:cs="Arial" w:eastAsia="Arial" w:hAnsi="Arial"/>
          <w:sz w:val="23"/>
          <w:szCs w:val="23"/>
        </w:rPr>
        <w:t xml:space="preserve">Department Manager, General Service</w:t>
      </w:r>
    </w:p>
    <w:p>
      <w:pPr>
        <w:spacing w:after="80" w:before="80"/>
      </w:pPr>
      <w:r>
        <w:rPr>
          <w:rFonts w:ascii="Arial" w:cs="Arial" w:eastAsia="Arial" w:hAnsi="Arial"/>
          <w:sz w:val="23"/>
          <w:szCs w:val="23"/>
        </w:rPr>
        <w:t xml:space="preserve">Desicon Group</w:t>
      </w:r>
    </w:p>
    <w:p>
      <w:pPr>
        <w:spacing w:after="80" w:before="80"/>
      </w:pPr>
      <w:r>
        <w:rPr>
          <w:rFonts w:ascii="Arial" w:cs="Arial" w:eastAsia="Arial" w:hAnsi="Arial"/>
          <w:color w:val="1A56A0"/>
          <w:sz w:val="23"/>
          <w:szCs w:val="23"/>
        </w:rPr>
        <w:t xml:space="preserve">aihebest@gmail.com</w:t>
      </w:r>
    </w:p>
    <w:p>
      <w:pPr>
        <w:spacing w:after="0" w:before="200"/>
      </w:pPr>
      <w:r>
        <w:t xml:space="preserve"/>
      </w:r>
    </w:p>
    <w:p>
      <w:pPr>
        <w:pBdr>
          <w:bottom w:val="single" w:color="1A56A0" w:sz="6" w:space="0"/>
        </w:pBdr>
        <w:spacing w:after="200" w:before="200"/>
        <w:jc w:val="center"/>
      </w:pPr>
      <w:r>
        <w:rPr>
          <w:rFonts w:ascii="Arial" w:cs="Arial" w:eastAsia="Arial" w:hAnsi="Arial"/>
          <w:color w:val="EEF4FB"/>
          <w:sz w:val="18"/>
          <w:szCs w:val="18"/>
        </w:rPr>
        <w:t xml:space="preserve">— — — — — — — — — — — — —</w:t>
      </w:r>
    </w:p>
    <w:p>
      <w:pPr>
        <w:spacing w:after="0" w:before="60"/>
        <w:jc w:val="center"/>
      </w:pPr>
      <w:r>
        <w:rPr>
          <w:rFonts w:ascii="Arial" w:cs="Arial" w:eastAsia="Arial" w:hAnsi="Arial"/>
          <w:b/>
          <w:bCs/>
          <w:color w:val="1A56A0"/>
          <w:sz w:val="30"/>
          <w:szCs w:val="30"/>
        </w:rPr>
        <w:t xml:space="preserve">What to Tell Requesting Staff (Other Departments)</w:t>
      </w:r>
    </w:p>
    <w:p>
      <w:pPr>
        <w:spacing w:after="0" w:before="20"/>
        <w:jc w:val="center"/>
      </w:pPr>
      <w:r>
        <w:rPr>
          <w:rFonts w:ascii="Arial" w:cs="Arial" w:eastAsia="Arial" w:hAnsi="Arial"/>
          <w:i/>
          <w:iCs/>
          <w:color w:val="6B7280"/>
          <w:sz w:val="20"/>
          <w:szCs w:val="20"/>
        </w:rPr>
        <w:t xml:space="preserve">Use this message to inform colleagues outside the General Service team</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FFFFF" w:val="clear"/>
            <w:tcMar>
              <w:top w:type="dxa" w:w="200"/>
              <w:left w:type="dxa" w:w="300"/>
              <w:bottom w:type="dxa" w:w="200"/>
              <w:right w:type="dxa" w:w="300"/>
            </w:tcMar>
          </w:tcPr>
          <w:p>
            <w:pPr>
              <w:spacing w:after="80" w:before="0"/>
            </w:pPr>
            <w:r>
              <w:rPr>
                <w:rFonts w:ascii="Arial" w:cs="Arial" w:eastAsia="Arial" w:hAnsi="Arial"/>
                <w:b/>
                <w:bCs/>
                <w:color w:val="1A56A0"/>
                <w:sz w:val="26"/>
                <w:szCs w:val="26"/>
              </w:rPr>
              <w:t xml:space="preserve">To All Staff — General Service Request Platform</w:t>
            </w:r>
          </w:p>
          <w:p>
            <w:pPr>
              <w:spacing w:after="80" w:before="60"/>
            </w:pPr>
            <w:r>
              <w:rPr>
                <w:rFonts w:ascii="Arial" w:cs="Arial" w:eastAsia="Arial" w:hAnsi="Arial"/>
                <w:color w:val="6B7280"/>
                <w:sz w:val="22"/>
                <w:szCs w:val="22"/>
              </w:rPr>
              <w:t xml:space="preserve">Date: 25 June 2026</w:t>
            </w:r>
          </w:p>
          <w:p>
            <w:pPr>
              <w:pBdr>
                <w:bottom w:val="single" w:color="E5E7EB" w:sz="2"/>
              </w:pBdr>
              <w:spacing w:after="20" w:before="0"/>
            </w:pPr>
            <w:r>
              <w:t xml:space="preserve"/>
            </w:r>
          </w:p>
          <w:p>
            <w:pPr>
              <w:spacing w:after="0" w:before="80"/>
            </w:pPr>
            <w:r>
              <w:t xml:space="preserve"/>
            </w:r>
          </w:p>
          <w:p>
            <w:pPr>
              <w:spacing w:after="80" w:before="80"/>
            </w:pPr>
            <w:r>
              <w:rPr>
                <w:rFonts w:ascii="Arial" w:cs="Arial" w:eastAsia="Arial" w:hAnsi="Arial"/>
                <w:sz w:val="23"/>
                <w:szCs w:val="23"/>
              </w:rPr>
              <w:t xml:space="preserve">Dear Colleagues,</w:t>
            </w:r>
          </w:p>
          <w:p>
            <w:pPr>
              <w:spacing w:after="0" w:before="40"/>
            </w:pPr>
            <w:r>
              <w:t xml:space="preserve"/>
            </w:r>
          </w:p>
          <w:p>
            <w:pPr>
              <w:spacing w:after="80" w:before="80"/>
            </w:pPr>
            <w:r>
              <w:rPr>
                <w:rFonts w:ascii="Arial" w:cs="Arial" w:eastAsia="Arial" w:hAnsi="Arial"/>
                <w:sz w:val="23"/>
                <w:szCs w:val="23"/>
              </w:rPr>
              <w:t xml:space="preserve">The General Service department has launched a new digital platform for handling all facility, maintenance, and operational service requests. Effective immediately, all requests to the General Service team should be submitted through the platform.</w:t>
            </w:r>
          </w:p>
          <w:p>
            <w:pPr>
              <w:spacing w:after="0" w:before="40"/>
            </w:pPr>
            <w:r>
              <w:t xml:space="preserve"/>
            </w:r>
          </w:p>
          <w:p>
            <w:pPr>
              <w:spacing w:after="40" w:before="60"/>
            </w:pPr>
            <w:r>
              <w:rPr>
                <w:rFonts w:ascii="Arial" w:cs="Arial" w:eastAsia="Arial" w:hAnsi="Arial"/>
                <w:b/>
                <w:bCs/>
                <w:color w:val="1A56A0"/>
                <w:sz w:val="23"/>
                <w:szCs w:val="23"/>
              </w:rPr>
              <w:t xml:space="preserve">How to submit a request:</w:t>
            </w:r>
          </w:p>
          <w:p>
            <w:pPr>
              <w:pStyle w:val="ListParagraph"/>
              <w:numPr>
                <w:ilvl w:val="0"/>
                <w:numId w:val="2"/>
              </w:numPr>
              <w:spacing w:after="60" w:before="60"/>
            </w:pPr>
            <w:r>
              <w:rPr>
                <w:rFonts w:ascii="Arial" w:cs="Arial" w:eastAsia="Arial" w:hAnsi="Arial"/>
                <w:sz w:val="23"/>
                <w:szCs w:val="23"/>
              </w:rPr>
              <w:t xml:space="preserve">Go to:  https://genservice.desiconapp.com</w:t>
            </w:r>
          </w:p>
          <w:p>
            <w:pPr>
              <w:pStyle w:val="ListParagraph"/>
              <w:numPr>
                <w:ilvl w:val="0"/>
                <w:numId w:val="2"/>
              </w:numPr>
              <w:spacing w:after="60" w:before="60"/>
            </w:pPr>
            <w:r>
              <w:rPr>
                <w:rFonts w:ascii="Arial" w:cs="Arial" w:eastAsia="Arial" w:hAnsi="Arial"/>
                <w:sz w:val="23"/>
                <w:szCs w:val="23"/>
              </w:rPr>
              <w:t xml:space="preserve">Sign in using your Desicon Group Microsoft work account (@desicongroup.com)</w:t>
            </w:r>
          </w:p>
          <w:p>
            <w:pPr>
              <w:pStyle w:val="ListParagraph"/>
              <w:numPr>
                <w:ilvl w:val="0"/>
                <w:numId w:val="2"/>
              </w:numPr>
              <w:spacing w:after="60" w:before="60"/>
            </w:pPr>
            <w:r>
              <w:rPr>
                <w:rFonts w:ascii="Arial" w:cs="Arial" w:eastAsia="Arial" w:hAnsi="Arial"/>
                <w:sz w:val="23"/>
                <w:szCs w:val="23"/>
              </w:rPr>
              <w:t xml:space="preserve">Click 'Requests' then 'New Request'</w:t>
            </w:r>
          </w:p>
          <w:p>
            <w:pPr>
              <w:pStyle w:val="ListParagraph"/>
              <w:numPr>
                <w:ilvl w:val="0"/>
                <w:numId w:val="2"/>
              </w:numPr>
              <w:spacing w:after="60" w:before="60"/>
            </w:pPr>
            <w:r>
              <w:rPr>
                <w:rFonts w:ascii="Arial" w:cs="Arial" w:eastAsia="Arial" w:hAnsi="Arial"/>
                <w:sz w:val="23"/>
                <w:szCs w:val="23"/>
              </w:rPr>
              <w:t xml:space="preserve">Fill in the details of what you need and submit</w:t>
            </w:r>
          </w:p>
          <w:p>
            <w:pPr>
              <w:pStyle w:val="ListParagraph"/>
              <w:numPr>
                <w:ilvl w:val="0"/>
                <w:numId w:val="2"/>
              </w:numPr>
              <w:spacing w:after="60" w:before="60"/>
            </w:pPr>
            <w:r>
              <w:rPr>
                <w:rFonts w:ascii="Arial" w:cs="Arial" w:eastAsia="Arial" w:hAnsi="Arial"/>
                <w:sz w:val="23"/>
                <w:szCs w:val="23"/>
              </w:rPr>
              <w:t xml:space="preserve">You will receive a ticket number and automatic updates as your request is processed</w:t>
            </w:r>
          </w:p>
          <w:p>
            <w:pPr>
              <w:spacing w:after="0" w:before="80"/>
            </w:pPr>
            <w:r>
              <w:t xml:space="preserve"/>
            </w:r>
          </w:p>
          <w:p>
            <w:pPr>
              <w:spacing w:after="40" w:before="60"/>
            </w:pPr>
            <w:r>
              <w:rPr>
                <w:rFonts w:ascii="Arial" w:cs="Arial" w:eastAsia="Arial" w:hAnsi="Arial"/>
                <w:b/>
                <w:bCs/>
                <w:color w:val="1A56A0"/>
                <w:sz w:val="23"/>
                <w:szCs w:val="23"/>
              </w:rPr>
              <w:t xml:space="preserve">What you can request:</w:t>
            </w:r>
          </w:p>
          <w:p>
            <w:pPr>
              <w:pStyle w:val="ListParagraph"/>
              <w:numPr>
                <w:ilvl w:val="0"/>
                <w:numId w:val="2"/>
              </w:numPr>
              <w:spacing w:after="60" w:before="60"/>
            </w:pPr>
            <w:r>
              <w:rPr>
                <w:rFonts w:ascii="Arial" w:cs="Arial" w:eastAsia="Arial" w:hAnsi="Arial"/>
                <w:sz w:val="23"/>
                <w:szCs w:val="23"/>
              </w:rPr>
              <w:t xml:space="preserve">Maintenance and repair work</w:t>
            </w:r>
          </w:p>
          <w:p>
            <w:pPr>
              <w:pStyle w:val="ListParagraph"/>
              <w:numPr>
                <w:ilvl w:val="0"/>
                <w:numId w:val="2"/>
              </w:numPr>
              <w:spacing w:after="60" w:before="60"/>
            </w:pPr>
            <w:r>
              <w:rPr>
                <w:rFonts w:ascii="Arial" w:cs="Arial" w:eastAsia="Arial" w:hAnsi="Arial"/>
                <w:sz w:val="23"/>
                <w:szCs w:val="23"/>
              </w:rPr>
              <w:t xml:space="preserve">Faulty equipment or asset reports</w:t>
            </w:r>
          </w:p>
          <w:p>
            <w:pPr>
              <w:pStyle w:val="ListParagraph"/>
              <w:numPr>
                <w:ilvl w:val="0"/>
                <w:numId w:val="2"/>
              </w:numPr>
              <w:spacing w:after="60" w:before="60"/>
            </w:pPr>
            <w:r>
              <w:rPr>
                <w:rFonts w:ascii="Arial" w:cs="Arial" w:eastAsia="Arial" w:hAnsi="Arial"/>
                <w:sz w:val="23"/>
                <w:szCs w:val="23"/>
              </w:rPr>
              <w:t xml:space="preserve">Facility issues and complaints</w:t>
            </w:r>
          </w:p>
          <w:p>
            <w:pPr>
              <w:pStyle w:val="ListParagraph"/>
              <w:numPr>
                <w:ilvl w:val="0"/>
                <w:numId w:val="2"/>
              </w:numPr>
              <w:spacing w:after="60" w:before="60"/>
            </w:pPr>
            <w:r>
              <w:rPr>
                <w:rFonts w:ascii="Arial" w:cs="Arial" w:eastAsia="Arial" w:hAnsi="Arial"/>
                <w:sz w:val="23"/>
                <w:szCs w:val="23"/>
              </w:rPr>
              <w:t xml:space="preserve">Accommodation, weekend access, and non-working hours requests</w:t>
            </w:r>
          </w:p>
          <w:p>
            <w:pPr>
              <w:pStyle w:val="ListParagraph"/>
              <w:numPr>
                <w:ilvl w:val="0"/>
                <w:numId w:val="2"/>
              </w:numPr>
              <w:spacing w:after="60" w:before="60"/>
            </w:pPr>
            <w:r>
              <w:rPr>
                <w:rFonts w:ascii="Arial" w:cs="Arial" w:eastAsia="Arial" w:hAnsi="Arial"/>
                <w:sz w:val="23"/>
                <w:szCs w:val="23"/>
              </w:rPr>
              <w:t xml:space="preserve">Store items, diesel, and other operational needs</w:t>
            </w:r>
          </w:p>
          <w:p>
            <w:pPr>
              <w:spacing w:after="0" w:before="8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D1D5DB" w:sz="1"/>
                    <w:left w:val="single" w:color="D1D5DB" w:sz="1"/>
                    <w:bottom w:val="single" w:color="D1D5DB" w:sz="1"/>
                    <w:right w:val="single" w:color="D1D5DB" w:sz="1"/>
                  </w:tcBorders>
                  <w:shd w:fill="FEF3C7" w:val="clear"/>
                  <w:tcMar>
                    <w:top w:type="dxa" w:w="100"/>
                    <w:left w:type="dxa" w:w="200"/>
                    <w:bottom w:type="dxa" w:w="100"/>
                    <w:right w:type="dxa" w:w="200"/>
                  </w:tcMar>
                </w:tcPr>
                <w:p>
                  <w:r>
                    <w:rPr>
                      <w:rFonts w:ascii="Arial" w:cs="Arial" w:eastAsia="Arial" w:hAnsi="Arial"/>
                      <w:i/>
                      <w:iCs/>
                      <w:color w:val="92400E"/>
                      <w:sz w:val="22"/>
                      <w:szCs w:val="22"/>
                    </w:rPr>
                    <w:t xml:space="preserve">Please note: verbal or email requests to the General Service team will no longer be processed. All requests must come through the platform so they can be properly tracked and actioned.</w:t>
                  </w:r>
                </w:p>
              </w:tc>
            </w:tr>
          </w:tbl>
          <w:p>
            <w:pPr>
              <w:spacing w:after="0" w:before="100"/>
            </w:pPr>
            <w:r>
              <w:t xml:space="preserve"/>
            </w:r>
          </w:p>
          <w:p>
            <w:pPr>
              <w:spacing w:after="80" w:before="80"/>
            </w:pPr>
            <w:r>
              <w:rPr>
                <w:rFonts w:ascii="Arial" w:cs="Arial" w:eastAsia="Arial" w:hAnsi="Arial"/>
                <w:sz w:val="23"/>
                <w:szCs w:val="23"/>
              </w:rPr>
              <w:t xml:space="preserve">If you have any difficulty signing in, contact the General Service Manager directly.</w:t>
            </w:r>
          </w:p>
          <w:p>
            <w:pPr>
              <w:spacing w:after="0" w:before="80"/>
            </w:pPr>
            <w:r>
              <w:t xml:space="preserve"/>
            </w:r>
          </w:p>
          <w:p>
            <w:pPr>
              <w:spacing w:after="80" w:before="80"/>
            </w:pPr>
            <w:r>
              <w:rPr>
                <w:rFonts w:ascii="Arial" w:cs="Arial" w:eastAsia="Arial" w:hAnsi="Arial"/>
                <w:sz w:val="23"/>
                <w:szCs w:val="23"/>
              </w:rPr>
              <w:t xml:space="preserve">Thank you for your cooperation.</w:t>
            </w:r>
          </w:p>
          <w:p>
            <w:pPr>
              <w:spacing w:after="0" w:before="60"/>
            </w:pPr>
            <w:r>
              <w:t xml:space="preserve"/>
            </w:r>
          </w:p>
          <w:p>
            <w:pPr>
              <w:spacing w:after="80" w:before="80"/>
            </w:pPr>
            <w:r>
              <w:rPr>
                <w:rFonts w:ascii="Arial" w:cs="Arial" w:eastAsia="Arial" w:hAnsi="Arial"/>
                <w:b/>
                <w:bCs/>
                <w:sz w:val="23"/>
                <w:szCs w:val="23"/>
              </w:rPr>
              <w:t xml:space="preserve">Aihe Bholoria</w:t>
            </w:r>
          </w:p>
          <w:p>
            <w:pPr>
              <w:spacing w:after="80" w:before="80"/>
            </w:pPr>
            <w:r>
              <w:rPr>
                <w:rFonts w:ascii="Arial" w:cs="Arial" w:eastAsia="Arial" w:hAnsi="Arial"/>
                <w:sz w:val="23"/>
                <w:szCs w:val="23"/>
              </w:rPr>
              <w:t xml:space="preserve">Department Manager, General Service</w:t>
            </w:r>
          </w:p>
          <w:p>
            <w:pPr>
              <w:spacing w:after="80" w:before="80"/>
            </w:pPr>
            <w:r>
              <w:rPr>
                <w:rFonts w:ascii="Arial" w:cs="Arial" w:eastAsia="Arial" w:hAnsi="Arial"/>
                <w:sz w:val="23"/>
                <w:szCs w:val="23"/>
              </w:rPr>
              <w:t xml:space="preserve">Desicon Group</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2026-06-25T22:51:58.396Z</dcterms:created>
  <dcterms:modified xsi:type="dcterms:W3CDTF">2026-06-25T22:51:58.397Z</dcterms:modified>
</cp:coreProperties>
</file>

<file path=docProps/custom.xml><?xml version="1.0" encoding="utf-8"?>
<Properties xmlns="http://schemas.openxmlformats.org/officeDocument/2006/custom-properties" xmlns:vt="http://schemas.openxmlformats.org/officeDocument/2006/docPropsVTypes"/>
</file>