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SENTRA — Erfassung von Testfällen</w:t>
      </w:r>
    </w:p>
    <w:p>
      <w:r>
        <w:rPr>
          <w:sz w:val="20"/>
        </w:rPr>
        <w:t>Mit diesem Formular werden die Testfälle gesammelt, gegen die SENTRA regelmäßig geprüft wird. Jede Zeile ist ein Testfall: eine echte Frage, die erwartete Antwort und die Quelle, auf der sie beruht.</w:t>
      </w:r>
    </w:p>
    <w:p>
      <w:r>
        <w:rPr>
          <w:b/>
          <w:color w:val="C00000"/>
          <w:sz w:val="20"/>
        </w:rPr>
        <w:t>Die wichtigste Regel: Die erwartete Antwort muss feststehen, bevor SENTRA die Frage gestellt bekommt. Wird sie nachträglich an die tatsächliche Ausgabe angepasst, misst der Testfall nichts mehr.</w:t>
      </w:r>
    </w:p>
    <w:p>
      <w:r>
        <w:rPr>
          <w:color w:val="595959"/>
          <w:sz w:val="18"/>
        </w:rPr>
        <w:t>Nummer und Status werden nicht hier vergeben. Die Nummer vergibt das System und benutzt sie nie ein zweites Mal; über die Freigabe entscheidet die fachliche Durchsicht, nicht die erfassende Person.</w:t>
      </w:r>
    </w:p>
    <w:p/>
    <w:p>
      <w:r>
        <w:rPr>
          <w:b/>
          <w:sz w:val="20"/>
        </w:rPr>
        <w:t>Kategorie *</w:t>
      </w:r>
    </w:p>
    <w:p>
      <w:r>
        <w:rPr>
          <w:i/>
          <w:color w:val="595959"/>
          <w:sz w:val="17"/>
        </w:rPr>
        <w:t>Bereich, aus dem die Frage stammt: Fachbereich oder Hotline-Thema. GO = Geschäftsordnung; GV = Gesetzgebungsverfahren; AR = Abgeordnetenrechte; FI = Haushalt und Finanzen; WI = Wirtschaft, Energie, Umwelt. Ein anderes Kürzel aus Buchstaben oder Ziffern geht auch, z. B. WD3.</w:t>
      </w:r>
    </w:p>
    <w:p>
      <w:pPr>
        <w:shd w:val="clear" w:fill="F2F2F2"/>
      </w:pPr>
      <w:sdt>
        <w:sdtPr>
          <w:alias w:val="Kategorie"/>
          <w:tag w:val="kategorie"/>
          <w:showingPlcHdr/>
          <w:comboBox>
            <w:listItem w:displayText="GO" w:value="GO"/>
            <w:listItem w:displayText="GV" w:value="GV"/>
            <w:listItem w:displayText="AR" w:value="AR"/>
            <w:listItem w:displayText="FI" w:value="FI"/>
            <w:listItem w:displayText="WI" w:value="WI"/>
          </w:comboBox>
        </w:sdtPr>
        <w:sdtContent>
          <w:r>
            <w:t>GO</w:t>
          </w:r>
        </w:sdtContent>
      </w:sdt>
    </w:p>
    <w:p/>
    <w:p>
      <w:r>
        <w:rPr>
          <w:b/>
          <w:sz w:val="20"/>
        </w:rPr>
        <w:t>Testart</w:t>
      </w:r>
    </w:p>
    <w:p>
      <w:r>
        <w:rPr>
          <w:i/>
          <w:color w:val="595959"/>
          <w:sz w:val="17"/>
        </w:rPr>
        <w:t>Was der Testfall prüfen soll. Regelfall: die Antwort steht im Bestand. Präzision: Zahlen, Fristen, Paragrafen. Quellenwahl: es gibt eine ähnliche oder veraltete Arbeit. Synthese: die Antwort braucht mehrere Arbeiten. Grenzfälle: außerhalb des Bestands, mehrdeutig, veraltet, falsche Annahme. Freiwillig; eine eigene Bezeichnung geht auch.</w:t>
      </w:r>
    </w:p>
    <w:p>
      <w:pPr>
        <w:shd w:val="clear" w:fill="F2F2F2"/>
      </w:pPr>
      <w:sdt>
        <w:sdtPr>
          <w:alias w:val="Testart"/>
          <w:tag w:val="testart"/>
          <w:showingPlcHdr/>
          <w:comboBox>
            <w:listItem w:displayText="Regelfall" w:value="Regelfall"/>
            <w:listItem w:displayText="Präzision" w:value="Präzision"/>
            <w:listItem w:displayText="Quellenwahl" w:value="Quellenwahl"/>
            <w:listItem w:displayText="Synthese" w:value="Synthese"/>
            <w:listItem w:displayText="Grenzfall · außerhalb des Bestands" w:value="Grenzfall · außerhalb des Bestands"/>
            <w:listItem w:displayText="Grenzfall · mehrdeutig" w:value="Grenzfall · mehrdeutig"/>
            <w:listItem w:displayText="Grenzfall · veraltet" w:value="Grenzfall · veraltet"/>
            <w:listItem w:displayText="Grenzfall · falsche Annahme" w:value="Grenzfall · falsche Annahme"/>
          </w:comboBox>
        </w:sdtPr>
        <w:sdtContent>
          <w:r>
            <w:t>Regelfall</w:t>
          </w:r>
        </w:sdtContent>
      </w:sdt>
    </w:p>
    <w:p/>
    <w:p>
      <w:r>
        <w:rPr>
          <w:b/>
          <w:sz w:val="20"/>
        </w:rPr>
        <w:t>Ausgangsfrage *</w:t>
      </w:r>
    </w:p>
    <w:p>
      <w:r>
        <w:rPr>
          <w:i/>
          <w:color w:val="595959"/>
          <w:sz w:val="17"/>
        </w:rPr>
        <w:t>Die Frage so, wie sie tatsächlich gestellt wurde — nicht nachträglich geglättet. Eine umformulierte Frage prüft etwas anderes als die echte.</w:t>
      </w:r>
    </w:p>
    <w:p>
      <w:pPr>
        <w:shd w:val="clear" w:fill="F2F2F2"/>
      </w:pPr>
      <w:sdt>
        <w:sdtPr>
          <w:alias w:val="Ausgangsfrage"/>
          <w:tag w:val="ausgangsfrage"/>
          <w:showingPlcHdr/>
          <w:text w:multiLine="1"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Abteilung / Fachbereich</w:t>
      </w:r>
    </w:p>
    <w:p>
      <w:r>
        <w:rPr>
          <w:i/>
          <w:color w:val="595959"/>
          <w:sz w:val="17"/>
        </w:rPr>
        <w:t>Woher die Frage kam, z. B. Hotline oder WD 3.</w:t>
      </w:r>
    </w:p>
    <w:p>
      <w:pPr>
        <w:shd w:val="clear" w:fill="F2F2F2"/>
      </w:pPr>
      <w:sdt>
        <w:sdtPr>
          <w:alias w:val="Abteilung / Fachbereich"/>
          <w:tag w:val="abteilung"/>
          <w:showingPlcHdr/>
          <w:text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Erwartete Antwort *</w:t>
      </w:r>
    </w:p>
    <w:p>
      <w:r>
        <w:rPr>
          <w:i/>
          <w:color w:val="595959"/>
          <w:sz w:val="17"/>
        </w:rPr>
        <w:t>Was eine fachlich richtige Antwort enthalten muss. UNBEDINGT ausfüllen, BEVOR SENTRA die Frage gestellt bekommt: eine Erwartung, die nach der Ausgabe geschrieben wird, misst nichts. Stichpunkte genügen. Bei einem Grenzfall gehört hierhin, dass keine Antwort erwartet wird und warum.</w:t>
      </w:r>
    </w:p>
    <w:p>
      <w:pPr>
        <w:shd w:val="clear" w:fill="F2F2F2"/>
      </w:pPr>
      <w:sdt>
        <w:sdtPr>
          <w:alias w:val="Erwartete Antwort"/>
          <w:tag w:val="erwartete_antwort"/>
          <w:showingPlcHdr/>
          <w:text w:multiLine="1"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Korrekte Quelle</w:t>
      </w:r>
    </w:p>
    <w:p>
      <w:r>
        <w:rPr>
          <w:i/>
          <w:color w:val="595959"/>
          <w:sz w:val="17"/>
        </w:rPr>
        <w:t>Die Fundstelle, auf der die richtige Antwort beruht, so wie ein Mensch sie liest — z. B. „GOBT § 35“. Pflicht, außer bei einem Grenzfall: zu einer Frage, die der Bestand nicht abdeckt, gibt es keine korrekte Quelle.</w:t>
      </w:r>
    </w:p>
    <w:p>
      <w:pPr>
        <w:shd w:val="clear" w:fill="F2F2F2"/>
      </w:pPr>
      <w:sdt>
        <w:sdtPr>
          <w:alias w:val="Korrekte Quelle"/>
          <w:tag w:val="referenz_korrekt"/>
          <w:showingPlcHdr/>
          <w:text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Aktenzeichen der korrekten Quelle</w:t>
      </w:r>
    </w:p>
    <w:p>
      <w:r>
        <w:rPr>
          <w:i/>
          <w:color w:val="595959"/>
          <w:sz w:val="17"/>
        </w:rPr>
        <w:t>Dasselbe Dokument als Aktenzeichen, genau in der Schreibweise des Bestands: „WD 3 - 3000 - 029/23“. Nur hierauf prüft die Quellenprüfung 4.3b automatisch. Leer lassen, wenn es zu der Frage kein Dokument im Bestand gibt — die Prüfung meldet dann „nicht prüfbar“ statt eines falschen Befunds.</w:t>
      </w:r>
    </w:p>
    <w:p>
      <w:pPr>
        <w:shd w:val="clear" w:fill="F2F2F2"/>
      </w:pPr>
      <w:sdt>
        <w:sdtPr>
          <w:alias w:val="Aktenzeichen der korrekten Quelle"/>
          <w:tag w:val="referenz_korrekt_az"/>
          <w:showingPlcHdr/>
          <w:text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Veraltete / ähnliche Quelle</w:t>
      </w:r>
    </w:p>
    <w:p>
      <w:r>
        <w:rPr>
          <w:i/>
          <w:color w:val="595959"/>
          <w:sz w:val="17"/>
        </w:rPr>
        <w:t>Optional, aber wertvoll: eine thematisch naheliegende, aber veraltete oder falsche Fundstelle. Erst dadurch unterscheidet die Prüfung „hat eine Quelle genannt“ von „hat die richtige von zwei plausiblen genannt“.</w:t>
      </w:r>
    </w:p>
    <w:p>
      <w:pPr>
        <w:shd w:val="clear" w:fill="F2F2F2"/>
      </w:pPr>
      <w:sdt>
        <w:sdtPr>
          <w:alias w:val="Veraltete / ähnliche Quelle"/>
          <w:tag w:val="referenz_falsch"/>
          <w:showingPlcHdr/>
          <w:text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Aktenzeichen der veralteten Quelle</w:t>
      </w:r>
    </w:p>
    <w:p>
      <w:r>
        <w:rPr>
          <w:i/>
          <w:color w:val="595959"/>
          <w:sz w:val="17"/>
        </w:rPr>
        <w:t>Dieselbe veraltete Quelle als Aktenzeichen, in der Schreibweise des Bestands. Nur hierauf prüft 4.3b, ob SENTRA die veraltete statt der gültigen Fassung herangezogen hat — der Befund, für den die beiden Quellenfelder überhaupt da sind.</w:t>
      </w:r>
    </w:p>
    <w:p>
      <w:pPr>
        <w:shd w:val="clear" w:fill="F2F2F2"/>
      </w:pPr>
      <w:sdt>
        <w:sdtPr>
          <w:alias w:val="Aktenzeichen der veralteten Quelle"/>
          <w:tag w:val="referenz_falsch_az"/>
          <w:showingPlcHdr/>
          <w:text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Grund für die Aufnahme</w:t>
      </w:r>
    </w:p>
    <w:p>
      <w:r>
        <w:rPr>
          <w:i/>
          <w:color w:val="595959"/>
          <w:sz w:val="17"/>
        </w:rPr>
        <w:t>Warum dieser Fall in den Datensatz gehört — häufige Frage, bekannte Schwachstelle, Beschwerde, Grenzfall. Steht später im Dokumentationsbogen und erklärt dem Prüfenden, worauf zu achten ist.</w:t>
      </w:r>
    </w:p>
    <w:p>
      <w:pPr>
        <w:shd w:val="clear" w:fill="F2F2F2"/>
      </w:pPr>
      <w:sdt>
        <w:sdtPr>
          <w:alias w:val="Grund für die Aufnahme"/>
          <w:tag w:val="grund_fuer_aufnahme"/>
          <w:showingPlcHdr/>
          <w:text w:multiLine="1"/>
        </w:sdtPr>
        <w:sdtContent>
          <w:r>
            <w:t>Klicken und eintragen</w:t>
          </w:r>
        </w:sdtContent>
      </w:sdt>
    </w:p>
    <w:p/>
    <w:p>
      <w:r>
        <w:rPr>
          <w:b/>
          <w:sz w:val="20"/>
        </w:rPr>
        <w:t>Grenzfall?</w:t>
      </w:r>
    </w:p>
    <w:p>
      <w:r>
        <w:rPr>
          <w:i/>
          <w:color w:val="595959"/>
          <w:sz w:val="17"/>
        </w:rPr>
        <w:t>„ja“, wenn der Bestand die Frage bewusst nicht abdeckt und SENTRA die Antwort verweigern soll. Grenzfälle werden immer manuell geprüft und nie automatisch herausgefiltert — sie sind die riskanteste Kategorie: ein System, das etwas erfindet, ist schlimmer als eines, das nichts findet.</w:t>
      </w:r>
    </w:p>
    <w:p>
      <w:pPr>
        <w:shd w:val="clear" w:fill="F2F2F2"/>
      </w:pPr>
      <w:sdt>
        <w:sdtPr>
          <w:alias w:val="Grenzfall?"/>
          <w:tag w:val="grenzfall"/>
          <w:showingPlcHdr/>
          <w:dropDownList>
            <w:listItem w:displayText="nein" w:value="nein"/>
            <w:listItem w:displayText="ja" w:value="ja"/>
          </w:dropDownList>
        </w:sdtPr>
        <w:sdtContent>
          <w:r>
            <w:t>nein</w:t>
          </w:r>
        </w:sdtContent>
      </w:sdt>
    </w:p>
    <w:p/>
    <w:p>
      <w:r>
        <w:rPr>
          <w:color w:val="595959"/>
          <w:sz w:val="18"/>
        </w:rPr>
        <w:t>Ausgefülltes Formular an die für die Auswertung zuständige Person. Mehrere Fälle auf einmal: bitte die Excel-Vorlage benutzen.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