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DPDP Readiness Assessment</w:t>
      </w:r>
    </w:p>
    <w:p>
      <w:pPr>
        <w:jc w:val="center"/>
      </w:pPr>
      <w:r>
        <w:rPr>
          <w:color w:val="555555"/>
          <w:sz w:val="22"/>
        </w:rPr>
        <w:t>Digital Personal Data Protection Act, 2023</w:t>
        <w:br/>
        <w:t>DPDP Rules, 2025</w:t>
      </w:r>
    </w:p>
    <w:p/>
    <w:p>
      <w:pPr>
        <w:jc w:val="center"/>
      </w:pPr>
      <w:r>
        <w:rPr>
          <w:b/>
          <w:sz w:val="32"/>
        </w:rPr>
        <w:t>Meridian Textiles Private Limited (sample)</w:t>
      </w:r>
    </w:p>
    <w:p>
      <w:pPr>
        <w:jc w:val="center"/>
      </w:pPr>
      <w:r>
        <w:rPr>
          <w:color w:val="555555"/>
          <w:sz w:val="20"/>
        </w:rPr>
        <w:t>Private Limited Company  |  Assessed as Data Fiduciary</w:t>
      </w:r>
    </w:p>
    <w:p>
      <w:pPr>
        <w:jc w:val="center"/>
      </w:pPr>
      <w:r>
        <w:rPr>
          <w:color w:val="555555"/>
          <w:sz w:val="20"/>
        </w:rPr>
        <w:t>Readiness report issued by Kaveri &amp; Rao, Chartered Accountants (fictitious)</w:t>
      </w:r>
    </w:p>
    <w:p/>
    <w:p>
      <w:pPr>
        <w:jc w:val="center"/>
      </w:pPr>
      <w:r>
        <w:rPr>
          <w:b/>
          <w:color w:val="B31B1B"/>
          <w:sz w:val="28"/>
        </w:rPr>
        <w:t>Readiness score  23.6  -  Critical</w:t>
      </w:r>
    </w:p>
    <w:p/>
    <w:p/>
    <w:p/>
    <w:p/>
    <w:p/>
    <w:p/>
    <w:p>
      <w:pPr>
        <w:jc w:val="center"/>
      </w:pPr>
      <w:r>
        <w:rPr>
          <w:color w:val="555555"/>
          <w:sz w:val="18"/>
        </w:rPr>
        <w:t>Assessment date: 2026-09-15</w:t>
        <w:br/>
        <w:t>Assessed by: Kaveri &amp; Rao, Chartered Accountants (fictitious)</w:t>
        <w:br/>
        <w:t>Report generated: 2026-09-20</w:t>
      </w:r>
    </w:p>
    <w:p>
      <w:r>
        <w:br w:type="page"/>
      </w:r>
    </w:p>
    <w:p>
      <w:pPr>
        <w:pStyle w:val="Heading1"/>
      </w:pPr>
      <w:r>
        <w:t>1. Scope, basis and limitations</w:t>
      </w:r>
    </w:p>
    <w:p>
      <w:r>
        <w:t>We have assessed the entity against 17 controls derived from the Digital Personal Data Protection Act, 2023 and the Digital Personal Data Protection Rules, 2025. Controls that cannot apply to the entity on the facts stated have been excluded from both the score and this report.</w:t>
      </w:r>
    </w:p>
    <w:p>
      <w:r>
        <w:t>5 controls are not yet assessed; they score nil until assessed.</w:t>
      </w:r>
    </w:p>
    <w:p>
      <w:pPr>
        <w:pStyle w:val="Heading2"/>
      </w:pPr>
      <w:r>
        <w:t>Basis of scoring</w:t>
      </w:r>
    </w:p>
    <w:p>
      <w:r>
        <w:t>Each control is assessed as Present, Partial or Absent, and carries a weight from 1 to 5 reflecting the consequence of its absence. The readiness score is the weighted proportion of controls satisfied, expressed out of 100.</w:t>
      </w:r>
    </w:p>
    <w:p>
      <w:r>
        <w:t>Controls marked "Citation pending verification" cite a provision of the Act or the Rules that has not yet been checked against the gazette text. They are assessed and scored in the same way as every other control.</w:t>
      </w:r>
    </w:p>
    <w:p>
      <w:pPr>
        <w:pStyle w:val="Heading2"/>
      </w:pPr>
      <w:r>
        <w:t>Limitations</w:t>
      </w:r>
    </w:p>
    <w:p>
      <w:pPr>
        <w:pStyle w:val="ListBullet"/>
      </w:pPr>
      <w:r>
        <w:t>This report records observations against the criteria stated in the control catalogue, on the evidence made available to us. It is not an audit, a certification, or an assurance engagement, and no opinion is expressed.</w:t>
      </w:r>
    </w:p>
    <w:p>
      <w:pPr>
        <w:pStyle w:val="ListBullet"/>
      </w:pPr>
      <w:r>
        <w:t>Assurance terms are deliberately not used. A control assessed as Present means supporting evidence was produced and examined on a test-check basis; it does not confirm that the control operated effectively throughout the period.</w:t>
      </w:r>
    </w:p>
    <w:p>
      <w:pPr>
        <w:pStyle w:val="ListBullet"/>
      </w:pPr>
      <w:r>
        <w:t>Controls carrying a weight of 4 or 5 have been scored at nil where no supporting evidence was produced, irrespective of the status asserted by management. Self-declaration alone has not been accepted as evidence.</w:t>
      </w:r>
    </w:p>
    <w:p>
      <w:pPr>
        <w:pStyle w:val="ListBullet"/>
      </w:pPr>
      <w:r>
        <w:t>This report does not constitute legal advice. Determinations on the applicability of statutory provisions, and on the entity's role under the Act, should be confirmed with legal counsel before being relied upon.</w:t>
      </w:r>
    </w:p>
    <w:p>
      <w:pPr>
        <w:pStyle w:val="ListBullet"/>
      </w:pPr>
      <w:r>
        <w:t>The DPDP Rules, 2025 were notified on 13 November 2025 with phased commencement. Certain provisions, including the consent manager framework, commence after the date of this report. Observations on those provisions are forward-looking and are marked as such.</w:t>
      </w:r>
    </w:p>
    <w:p>
      <w:pPr>
        <w:pStyle w:val="Heading1"/>
      </w:pPr>
      <w:r>
        <w:t>2. Role determination</w:t>
      </w:r>
    </w:p>
    <w:p>
      <w:r>
        <w:t>The obligations that apply turn on whether the entity acts as a Data Fiduciary or a Data Processor for the engagement assessed. The role is determined by who decides the purpose and means of processing, and may differ between engagements of the same entity.</w:t>
      </w:r>
    </w:p>
    <w:p>
      <w:r>
        <w:rPr>
          <w:b/>
        </w:rPr>
        <w:t xml:space="preserve">Determination: </w:t>
      </w:r>
      <w:r>
        <w:t>Data Fiduciary</w:t>
      </w:r>
    </w:p>
    <w:p>
      <w:r>
        <w:t>The entity has been assessed as a Data Fiduciary for this engagement. It decides the purpose of processing independently, decides the means of processing, collects directly from the Data Principal, retains and uses the data on its own account and is not contractually confined to another party's instructions.</w:t>
      </w:r>
    </w:p>
    <w:p>
      <w:pPr>
        <w:pStyle w:val="Heading1"/>
      </w:pPr>
      <w:r>
        <w:t>3. Readiness summary</w:t>
      </w:r>
    </w:p>
    <w:p>
      <w:r>
        <w:rPr>
          <w:b/>
        </w:rPr>
        <w:t xml:space="preserve">Score: </w:t>
      </w:r>
      <w:r>
        <w:rPr>
          <w:b/>
          <w:color w:val="B31B1B"/>
        </w:rPr>
        <w:t>23.6 out of 100  (Critical)</w:t>
      </w:r>
    </w:p>
    <w:p>
      <w:r>
        <w:t>Weighted marks earned 17.0 of 72 available, across 17 applicable controls.</w:t>
      </w:r>
    </w:p>
    <w:p>
      <w:pPr>
        <w:pStyle w:val="Heading2"/>
      </w:pPr>
      <w:r>
        <w:t>Rule-wise position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008"/>
            <w:shd w:val="clear" w:fill="E8E8E8"/>
          </w:tcPr>
          <w:p>
            <w:pPr>
              <w:spacing w:after="40"/>
            </w:pPr>
            <w:r/>
            <w:r>
              <w:rPr>
                <w:b/>
                <w:sz w:val="19"/>
              </w:rPr>
              <w:t>Rule</w:t>
            </w:r>
          </w:p>
        </w:tc>
        <w:tc>
          <w:tcPr>
            <w:tcW w:type="dxa" w:w="4320"/>
            <w:shd w:val="clear" w:fill="E8E8E8"/>
          </w:tcPr>
          <w:p>
            <w:pPr>
              <w:spacing w:after="40"/>
            </w:pPr>
            <w:r/>
            <w:r>
              <w:rPr>
                <w:b/>
                <w:sz w:val="19"/>
              </w:rPr>
              <w:t>Area</w:t>
            </w:r>
          </w:p>
        </w:tc>
        <w:tc>
          <w:tcPr>
            <w:tcW w:type="dxa" w:w="1152"/>
            <w:shd w:val="clear" w:fill="E8E8E8"/>
          </w:tcPr>
          <w:p>
            <w:pPr>
              <w:spacing w:after="40"/>
            </w:pPr>
            <w:r/>
            <w:r>
              <w:rPr>
                <w:b/>
                <w:sz w:val="19"/>
              </w:rPr>
              <w:t>Present</w:t>
            </w:r>
          </w:p>
        </w:tc>
        <w:tc>
          <w:tcPr>
            <w:tcW w:type="dxa" w:w="1152"/>
            <w:shd w:val="clear" w:fill="E8E8E8"/>
          </w:tcPr>
          <w:p>
            <w:pPr>
              <w:spacing w:after="40"/>
            </w:pPr>
            <w:r/>
            <w:r>
              <w:rPr>
                <w:b/>
                <w:sz w:val="19"/>
              </w:rPr>
              <w:t>Partial</w:t>
            </w:r>
          </w:p>
        </w:tc>
        <w:tc>
          <w:tcPr>
            <w:tcW w:type="dxa" w:w="1152"/>
            <w:shd w:val="clear" w:fill="E8E8E8"/>
          </w:tcPr>
          <w:p>
            <w:pPr>
              <w:spacing w:after="40"/>
            </w:pPr>
            <w:r/>
            <w:r>
              <w:rPr>
                <w:b/>
                <w:sz w:val="19"/>
              </w:rPr>
              <w:t>Absent</w:t>
            </w:r>
          </w:p>
        </w:tc>
      </w:tr>
      <w:tr>
        <w:tc>
          <w:tcPr>
            <w:tcW w:type="dxa" w:w="1008"/>
          </w:tcPr>
          <w:p>
            <w:pPr>
              <w:spacing w:after="40"/>
            </w:pPr>
            <w:r/>
            <w:r>
              <w:rPr>
                <w:b w:val="0"/>
                <w:sz w:val="19"/>
              </w:rPr>
              <w:t>S4</w:t>
            </w:r>
          </w:p>
        </w:tc>
        <w:tc>
          <w:tcPr>
            <w:tcW w:type="dxa" w:w="4320"/>
          </w:tcPr>
          <w:p>
            <w:pPr>
              <w:spacing w:after="40"/>
            </w:pPr>
            <w:r/>
            <w:r>
              <w:rPr>
                <w:b w:val="0"/>
                <w:sz w:val="19"/>
              </w:rPr>
              <w:t>Consent and Legitimate Use</w:t>
            </w:r>
          </w:p>
        </w:tc>
        <w:tc>
          <w:tcPr>
            <w:tcW w:type="dxa" w:w="1152"/>
          </w:tcPr>
          <w:p>
            <w:pPr>
              <w:spacing w:after="40"/>
            </w:pPr>
            <w:r/>
            <w:r>
              <w:rPr>
                <w:b w:val="0"/>
                <w:sz w:val="19"/>
              </w:rPr>
              <w:t>1</w:t>
            </w:r>
          </w:p>
        </w:tc>
        <w:tc>
          <w:tcPr>
            <w:tcW w:type="dxa" w:w="1152"/>
          </w:tcPr>
          <w:p>
            <w:pPr>
              <w:spacing w:after="40"/>
            </w:pPr>
            <w:r/>
            <w:r>
              <w:rPr>
                <w:b w:val="0"/>
                <w:sz w:val="19"/>
              </w:rPr>
              <w:t>1</w:t>
            </w:r>
          </w:p>
        </w:tc>
        <w:tc>
          <w:tcPr>
            <w:tcW w:type="dxa" w:w="1152"/>
          </w:tcPr>
          <w:p>
            <w:pPr>
              <w:spacing w:after="40"/>
            </w:pPr>
            <w:r/>
            <w:r>
              <w:rPr>
                <w:b w:val="0"/>
                <w:sz w:val="19"/>
              </w:rPr>
              <w:t>2</w:t>
            </w:r>
          </w:p>
        </w:tc>
      </w:tr>
      <w:tr>
        <w:tc>
          <w:tcPr>
            <w:tcW w:type="dxa" w:w="1008"/>
          </w:tcPr>
          <w:p>
            <w:pPr>
              <w:spacing w:after="40"/>
            </w:pPr>
            <w:r/>
            <w:r>
              <w:rPr>
                <w:b w:val="0"/>
                <w:sz w:val="19"/>
              </w:rPr>
              <w:t>R6</w:t>
            </w:r>
          </w:p>
        </w:tc>
        <w:tc>
          <w:tcPr>
            <w:tcW w:type="dxa" w:w="4320"/>
          </w:tcPr>
          <w:p>
            <w:pPr>
              <w:spacing w:after="40"/>
            </w:pPr>
            <w:r/>
            <w:r>
              <w:rPr>
                <w:b w:val="0"/>
                <w:sz w:val="19"/>
              </w:rPr>
              <w:t>Reasonable Security Safeguards</w:t>
            </w:r>
          </w:p>
        </w:tc>
        <w:tc>
          <w:tcPr>
            <w:tcW w:type="dxa" w:w="1152"/>
          </w:tcPr>
          <w:p>
            <w:pPr>
              <w:spacing w:after="40"/>
            </w:pPr>
            <w:r/>
            <w:r>
              <w:rPr>
                <w:b w:val="0"/>
                <w:sz w:val="19"/>
              </w:rPr>
              <w:t>4</w:t>
            </w:r>
          </w:p>
        </w:tc>
        <w:tc>
          <w:tcPr>
            <w:tcW w:type="dxa" w:w="1152"/>
          </w:tcPr>
          <w:p>
            <w:pPr>
              <w:spacing w:after="40"/>
            </w:pPr>
            <w:r/>
            <w:r>
              <w:rPr>
                <w:b w:val="0"/>
                <w:sz w:val="19"/>
              </w:rPr>
              <w:t>2</w:t>
            </w:r>
          </w:p>
        </w:tc>
        <w:tc>
          <w:tcPr>
            <w:tcW w:type="dxa" w:w="1152"/>
          </w:tcPr>
          <w:p>
            <w:pPr>
              <w:spacing w:after="40"/>
            </w:pPr>
            <w:r/>
            <w:r>
              <w:rPr>
                <w:b w:val="0"/>
                <w:sz w:val="19"/>
              </w:rPr>
              <w:t>2</w:t>
            </w:r>
          </w:p>
        </w:tc>
      </w:tr>
      <w:tr>
        <w:tc>
          <w:tcPr>
            <w:tcW w:type="dxa" w:w="1008"/>
          </w:tcPr>
          <w:p>
            <w:pPr>
              <w:spacing w:after="40"/>
            </w:pPr>
            <w:r/>
            <w:r>
              <w:rPr>
                <w:b w:val="0"/>
                <w:sz w:val="19"/>
              </w:rPr>
              <w:t>R7</w:t>
            </w:r>
          </w:p>
        </w:tc>
        <w:tc>
          <w:tcPr>
            <w:tcW w:type="dxa" w:w="4320"/>
          </w:tcPr>
          <w:p>
            <w:pPr>
              <w:spacing w:after="40"/>
            </w:pPr>
            <w:r/>
            <w:r>
              <w:rPr>
                <w:b w:val="0"/>
                <w:sz w:val="19"/>
              </w:rPr>
              <w:t>Personal Data Breach Intimation</w:t>
            </w:r>
          </w:p>
        </w:tc>
        <w:tc>
          <w:tcPr>
            <w:tcW w:type="dxa" w:w="1152"/>
          </w:tcPr>
          <w:p>
            <w:pPr>
              <w:spacing w:after="40"/>
            </w:pPr>
            <w:r/>
            <w:r>
              <w:rPr>
                <w:b w:val="0"/>
                <w:sz w:val="19"/>
              </w:rPr>
              <w:t>1</w:t>
            </w:r>
          </w:p>
        </w:tc>
        <w:tc>
          <w:tcPr>
            <w:tcW w:type="dxa" w:w="1152"/>
          </w:tcPr>
          <w:p>
            <w:pPr>
              <w:spacing w:after="40"/>
            </w:pPr>
            <w:r/>
            <w:r>
              <w:rPr>
                <w:b w:val="0"/>
                <w:sz w:val="19"/>
              </w:rPr>
              <w:t>0</w:t>
            </w:r>
          </w:p>
        </w:tc>
        <w:tc>
          <w:tcPr>
            <w:tcW w:type="dxa" w:w="1152"/>
          </w:tcPr>
          <w:p>
            <w:pPr>
              <w:spacing w:after="40"/>
            </w:pPr>
            <w:r/>
            <w:r>
              <w:rPr>
                <w:b w:val="0"/>
                <w:sz w:val="19"/>
              </w:rPr>
              <w:t>4</w:t>
            </w:r>
          </w:p>
        </w:tc>
      </w:tr>
    </w:tbl>
    <w:p>
      <w:pPr>
        <w:pStyle w:val="Heading1"/>
      </w:pPr>
      <w:r>
        <w:t>4. Claims not supported by evidence</w:t>
      </w:r>
    </w:p>
    <w:p>
      <w:r>
        <w:t>Management asserted that the following 4 controls were in place. No supporting evidence was produced, and each has therefore been scored at nil. This section is presented separately because the position may improve once the underlying records are made available.</w:t>
      </w:r>
    </w:p>
    <w:tbl>
      <w:tblPr>
        <w:tblStyle w:val="TableGrid"/>
        <w:tblW w:type="auto" w:w="0"/>
        <w:tblLook w:firstColumn="1" w:firstRow="1" w:lastColumn="0" w:lastRow="0" w:noHBand="0" w:noVBand="1" w:val="04A0"/>
      </w:tblPr>
      <w:tblGrid>
        <w:gridCol w:w="3216"/>
        <w:gridCol w:w="3216"/>
        <w:gridCol w:w="3216"/>
      </w:tblGrid>
      <w:tr>
        <w:tc>
          <w:tcPr>
            <w:tcW w:type="dxa" w:w="1296"/>
            <w:shd w:val="clear" w:fill="E8E8E8"/>
          </w:tcPr>
          <w:p>
            <w:pPr>
              <w:spacing w:after="40"/>
            </w:pPr>
            <w:r/>
            <w:r>
              <w:rPr>
                <w:b/>
                <w:sz w:val="19"/>
              </w:rPr>
              <w:t>Control</w:t>
            </w:r>
          </w:p>
        </w:tc>
        <w:tc>
          <w:tcPr>
            <w:tcW w:type="dxa" w:w="4896"/>
            <w:shd w:val="clear" w:fill="E8E8E8"/>
          </w:tcPr>
          <w:p>
            <w:pPr>
              <w:spacing w:after="40"/>
            </w:pPr>
            <w:r/>
            <w:r>
              <w:rPr>
                <w:b/>
                <w:sz w:val="19"/>
              </w:rPr>
              <w:t>Title</w:t>
            </w:r>
          </w:p>
        </w:tc>
        <w:tc>
          <w:tcPr>
            <w:tcW w:type="dxa" w:w="2880"/>
            <w:shd w:val="clear" w:fill="E8E8E8"/>
          </w:tcPr>
          <w:p>
            <w:pPr>
              <w:spacing w:after="40"/>
            </w:pPr>
            <w:r/>
            <w:r>
              <w:rPr>
                <w:b/>
                <w:sz w:val="19"/>
              </w:rPr>
              <w:t>Evidence sought</w:t>
            </w:r>
          </w:p>
        </w:tc>
      </w:tr>
      <w:tr>
        <w:tc>
          <w:tcPr>
            <w:tcW w:type="dxa" w:w="1296"/>
          </w:tcPr>
          <w:p>
            <w:pPr>
              <w:spacing w:after="40"/>
            </w:pPr>
            <w:r/>
            <w:r>
              <w:rPr>
                <w:b w:val="0"/>
                <w:sz w:val="19"/>
              </w:rPr>
              <w:t>R6.1</w:t>
            </w:r>
          </w:p>
        </w:tc>
        <w:tc>
          <w:tcPr>
            <w:tcW w:type="dxa" w:w="4896"/>
          </w:tcPr>
          <w:p>
            <w:pPr>
              <w:spacing w:after="40"/>
            </w:pPr>
            <w:r/>
            <w:r>
              <w:rPr>
                <w:b w:val="0"/>
                <w:sz w:val="19"/>
              </w:rPr>
              <w:t>Encryption or masking of personal data at rest (citation pending verification)</w:t>
            </w:r>
          </w:p>
        </w:tc>
        <w:tc>
          <w:tcPr>
            <w:tcW w:type="dxa" w:w="2880"/>
          </w:tcPr>
          <w:p>
            <w:pPr>
              <w:spacing w:after="40"/>
            </w:pPr>
            <w:r/>
            <w:r>
              <w:rPr>
                <w:b w:val="0"/>
                <w:sz w:val="19"/>
              </w:rPr>
              <w:t>Encryption configuration screenshot or policy extract; List of systems holding personal data with protection status</w:t>
            </w:r>
          </w:p>
        </w:tc>
      </w:tr>
      <w:tr>
        <w:tc>
          <w:tcPr>
            <w:tcW w:type="dxa" w:w="1296"/>
          </w:tcPr>
          <w:p>
            <w:pPr>
              <w:spacing w:after="40"/>
            </w:pPr>
            <w:r/>
            <w:r>
              <w:rPr>
                <w:b w:val="0"/>
                <w:sz w:val="19"/>
              </w:rPr>
              <w:t>R6.3</w:t>
            </w:r>
          </w:p>
        </w:tc>
        <w:tc>
          <w:tcPr>
            <w:tcW w:type="dxa" w:w="4896"/>
          </w:tcPr>
          <w:p>
            <w:pPr>
              <w:spacing w:after="40"/>
            </w:pPr>
            <w:r/>
            <w:r>
              <w:rPr>
                <w:b w:val="0"/>
                <w:sz w:val="19"/>
              </w:rPr>
              <w:t>Need-to-know access control, documented (citation pending verification)</w:t>
            </w:r>
          </w:p>
        </w:tc>
        <w:tc>
          <w:tcPr>
            <w:tcW w:type="dxa" w:w="2880"/>
          </w:tcPr>
          <w:p>
            <w:pPr>
              <w:spacing w:after="40"/>
            </w:pPr>
            <w:r/>
            <w:r>
              <w:rPr>
                <w:b w:val="0"/>
                <w:sz w:val="19"/>
              </w:rPr>
              <w:t>Role-to-data access matrix; User access listing from at least one system holding personal data</w:t>
            </w:r>
          </w:p>
        </w:tc>
      </w:tr>
      <w:tr>
        <w:tc>
          <w:tcPr>
            <w:tcW w:type="dxa" w:w="1296"/>
          </w:tcPr>
          <w:p>
            <w:pPr>
              <w:spacing w:after="40"/>
            </w:pPr>
            <w:r/>
            <w:r>
              <w:rPr>
                <w:b w:val="0"/>
                <w:sz w:val="19"/>
              </w:rPr>
              <w:t>R6.5</w:t>
            </w:r>
          </w:p>
        </w:tc>
        <w:tc>
          <w:tcPr>
            <w:tcW w:type="dxa" w:w="4896"/>
          </w:tcPr>
          <w:p>
            <w:pPr>
              <w:spacing w:after="40"/>
            </w:pPr>
            <w:r/>
            <w:r>
              <w:rPr>
                <w:b w:val="0"/>
                <w:sz w:val="19"/>
              </w:rPr>
              <w:t>Access logging with minimum one-year retention (citation pending verification)</w:t>
            </w:r>
          </w:p>
        </w:tc>
        <w:tc>
          <w:tcPr>
            <w:tcW w:type="dxa" w:w="2880"/>
          </w:tcPr>
          <w:p>
            <w:pPr>
              <w:spacing w:after="40"/>
            </w:pPr>
            <w:r/>
            <w:r>
              <w:rPr>
                <w:b w:val="0"/>
                <w:sz w:val="19"/>
              </w:rPr>
              <w:t>Log retention configuration; Sample log export showing personal data access events</w:t>
            </w:r>
          </w:p>
        </w:tc>
      </w:tr>
      <w:tr>
        <w:tc>
          <w:tcPr>
            <w:tcW w:type="dxa" w:w="1296"/>
          </w:tcPr>
          <w:p>
            <w:pPr>
              <w:spacing w:after="40"/>
            </w:pPr>
            <w:r/>
            <w:r>
              <w:rPr>
                <w:b w:val="0"/>
                <w:sz w:val="19"/>
              </w:rPr>
              <w:t>R7.1</w:t>
            </w:r>
          </w:p>
        </w:tc>
        <w:tc>
          <w:tcPr>
            <w:tcW w:type="dxa" w:w="4896"/>
          </w:tcPr>
          <w:p>
            <w:pPr>
              <w:spacing w:after="40"/>
            </w:pPr>
            <w:r/>
            <w:r>
              <w:rPr>
                <w:b w:val="0"/>
                <w:sz w:val="19"/>
              </w:rPr>
              <w:t>Breach detection and escalation procedure (citation pending verification)</w:t>
            </w:r>
          </w:p>
        </w:tc>
        <w:tc>
          <w:tcPr>
            <w:tcW w:type="dxa" w:w="2880"/>
          </w:tcPr>
          <w:p>
            <w:pPr>
              <w:spacing w:after="40"/>
            </w:pPr>
            <w:r/>
            <w:r>
              <w:rPr>
                <w:b w:val="0"/>
                <w:sz w:val="19"/>
              </w:rPr>
              <w:t>Escalation procedure naming roles and timelines; Staff communication or training record on breach reporting</w:t>
            </w:r>
          </w:p>
        </w:tc>
      </w:tr>
    </w:tbl>
    <w:p>
      <w:pPr>
        <w:pStyle w:val="Heading1"/>
      </w:pPr>
      <w:r>
        <w:t>5. Detailed observations</w:t>
      </w:r>
    </w:p>
    <w:p>
      <w:r>
        <w:t>Findings are presented in order of severity. Each records the observation, its impact, the further action recommended, and the response received from management.</w:t>
      </w:r>
    </w:p>
    <w:p>
      <w:pPr>
        <w:pStyle w:val="Heading2"/>
      </w:pPr>
      <w:r>
        <w:t>5.1  R6.5 - Access logging with minimum one-year retention</w:t>
      </w:r>
    </w:p>
    <w:p>
      <w:r>
        <w:rPr>
          <w:color w:val="555555"/>
          <w:sz w:val="17"/>
        </w:rPr>
        <w:t>DPDP Rules, 2025 - Rule 6 read with Section 8(5), DPDP Act, 2023   |   Status: Partial   |   Severity: Critical   |   Weight: 5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Access to personal data is not logged and monitored, or logs are retained for less than the minimum one-year period.</w:t>
            </w:r>
          </w:p>
        </w:tc>
      </w:tr>
      <w:tr>
        <w:tc>
          <w:tcPr>
            <w:tcW w:type="dxa" w:w="2160"/>
            <w:shd w:val="clear" w:fill="F2F2F2"/>
          </w:tcPr>
          <w:p>
            <w:pPr>
              <w:spacing w:after="40"/>
            </w:pPr>
            <w:r/>
            <w:r>
              <w:rPr>
                <w:b/>
                <w:sz w:val="19"/>
              </w:rPr>
              <w:t>Impact</w:t>
            </w:r>
          </w:p>
        </w:tc>
        <w:tc>
          <w:tcPr>
            <w:tcW w:type="dxa" w:w="7056"/>
          </w:tcPr>
          <w:p>
            <w:pPr>
              <w:spacing w:after="40"/>
            </w:pPr>
            <w:r/>
            <w:r>
              <w:rPr>
                <w:b w:val="0"/>
                <w:sz w:val="19"/>
              </w:rPr>
              <w:t>Without logs the entity cannot detect a breach, cannot scope it, and cannot produce the facts, circumstances and attribution findings that the 72-hour report to the Board requires. A breach without logs is effectively unreportable in the prescribed form, converting one failure into two penalty exposures.</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Enable access logging on all systems holding personal data and extend retention to at least twelve months. Define what constitutes an anomalous access pattern and assign a named reviewer. Test log recoverability before relying on it.</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Retention to be extended subject to storage approval.</w:t>
              <w:br/>
              <w:br/>
              <w:t>Owner: IT Head   |   Target date: 2026-11-30</w:t>
            </w:r>
          </w:p>
        </w:tc>
      </w:tr>
    </w:tbl>
    <w:p/>
    <w:p>
      <w:pPr>
        <w:pStyle w:val="Heading2"/>
      </w:pPr>
      <w:r>
        <w:t>5.2  R7.4 - Detailed 72-hour report to the Board</w:t>
      </w:r>
    </w:p>
    <w:p>
      <w:r>
        <w:rPr>
          <w:color w:val="555555"/>
          <w:sz w:val="17"/>
        </w:rPr>
        <w:t>DPDP Rules, 2025 - Rule 7 read with Section 8(6), DPDP Act, 2023   |   Status: Absent   |   Severity: Critical   |   Weight: 5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No template exists for the detailed report to the Data Protection Board due within 72 hours of becoming aware of a personal data breach.</w:t>
            </w:r>
          </w:p>
        </w:tc>
      </w:tr>
      <w:tr>
        <w:tc>
          <w:tcPr>
            <w:tcW w:type="dxa" w:w="2160"/>
            <w:shd w:val="clear" w:fill="F2F2F2"/>
          </w:tcPr>
          <w:p>
            <w:pPr>
              <w:spacing w:after="40"/>
            </w:pPr>
            <w:r/>
            <w:r>
              <w:rPr>
                <w:b/>
                <w:sz w:val="19"/>
              </w:rPr>
              <w:t>Impact</w:t>
            </w:r>
          </w:p>
        </w:tc>
        <w:tc>
          <w:tcPr>
            <w:tcW w:type="dxa" w:w="7056"/>
          </w:tcPr>
          <w:p>
            <w:pPr>
              <w:spacing w:after="40"/>
            </w:pPr>
            <w:r/>
            <w:r>
              <w:rPr>
                <w:b w:val="0"/>
                <w:sz w:val="19"/>
              </w:rPr>
              <w:t>The report demands root-cause analysis and attribution findings that cannot be assembled from scratch inside three days without logs and a prepared structure. Entities that begin drafting at the point of incident routinely miss the deadline.</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Build the detailed report template with a section for each prescribed content head, and pre-link each section to the log source or record that will populate it.</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Accepted. A breach response pack will be prepared with external support.</w:t>
              <w:br/>
              <w:br/>
              <w:t>Owner: CFO   |   Target date: 2027-01-31</w:t>
            </w:r>
          </w:p>
        </w:tc>
      </w:tr>
    </w:tbl>
    <w:p/>
    <w:p>
      <w:pPr>
        <w:pStyle w:val="Heading2"/>
      </w:pPr>
      <w:r>
        <w:t>5.3  S4.2 - Valid consent captured and provable</w:t>
      </w:r>
    </w:p>
    <w:p>
      <w:r>
        <w:rPr>
          <w:color w:val="555555"/>
          <w:sz w:val="17"/>
        </w:rPr>
        <w:t>DPDP Act, 2023 - Section 4 read with Sections 5(2), 6 and 7   |   Status: Partial   |   Severity: Critical   |   Weight: 5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The entity does not capture consent by a clear affirmative action for each specified purpose, or cannot produce a record of consent for each Data Principal.</w:t>
            </w:r>
          </w:p>
        </w:tc>
      </w:tr>
      <w:tr>
        <w:tc>
          <w:tcPr>
            <w:tcW w:type="dxa" w:w="2160"/>
            <w:shd w:val="clear" w:fill="F2F2F2"/>
          </w:tcPr>
          <w:p>
            <w:pPr>
              <w:spacing w:after="40"/>
            </w:pPr>
            <w:r/>
            <w:r>
              <w:rPr>
                <w:b/>
                <w:sz w:val="19"/>
              </w:rPr>
              <w:t>Impact</w:t>
            </w:r>
          </w:p>
        </w:tc>
        <w:tc>
          <w:tcPr>
            <w:tcW w:type="dxa" w:w="7056"/>
          </w:tcPr>
          <w:p>
            <w:pPr>
              <w:spacing w:after="40"/>
            </w:pPr>
            <w:r/>
            <w:r>
              <w:rPr>
                <w:b w:val="0"/>
                <w:sz w:val="19"/>
              </w:rPr>
              <w:t>Consent that cannot be shown to meet Section 6(1) cannot support the processing that relies on it, and Section 6(10) places the burden of proof on the entity.</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Capture consent only by an unticked, itemised affirmative action for each purpose. Record the date and time, notice version, purpose and action for every Data Principal, and keep the records retrievable by Data Principal.</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Notice version to be recorded against each consent from the next portal release.</w:t>
              <w:br/>
              <w:br/>
              <w:t>Owner: Head of Sales   |   Target date: 2026-11-30</w:t>
            </w:r>
          </w:p>
        </w:tc>
      </w:tr>
    </w:tbl>
    <w:p/>
    <w:p>
      <w:pPr>
        <w:pStyle w:val="Heading2"/>
      </w:pPr>
      <w:r>
        <w:t>5.4  R6.8 - Documented incident response procedure</w:t>
      </w:r>
    </w:p>
    <w:p>
      <w:r>
        <w:rPr>
          <w:color w:val="555555"/>
          <w:sz w:val="17"/>
        </w:rPr>
        <w:t>DPDP Rules, 2025 - Rule 6 read with Section 8(5), DPDP Act, 2023   |   Status: Absent   |   Severity: High   |   Weight: 4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No documented incident response procedure exists for personal data incidents.</w:t>
            </w:r>
          </w:p>
        </w:tc>
      </w:tr>
      <w:tr>
        <w:tc>
          <w:tcPr>
            <w:tcW w:type="dxa" w:w="2160"/>
            <w:shd w:val="clear" w:fill="F2F2F2"/>
          </w:tcPr>
          <w:p>
            <w:pPr>
              <w:spacing w:after="40"/>
            </w:pPr>
            <w:r/>
            <w:r>
              <w:rPr>
                <w:b/>
                <w:sz w:val="19"/>
              </w:rPr>
              <w:t>Impact</w:t>
            </w:r>
          </w:p>
        </w:tc>
        <w:tc>
          <w:tcPr>
            <w:tcW w:type="dxa" w:w="7056"/>
          </w:tcPr>
          <w:p>
            <w:pPr>
              <w:spacing w:after="40"/>
            </w:pPr>
            <w:r/>
            <w:r>
              <w:rPr>
                <w:b w:val="0"/>
                <w:sz w:val="19"/>
              </w:rPr>
              <w:t>Response will be improvised at the worst possible moment. Because the breach clocks begin on awareness and run in hours rather than days, an undocumented process is the most common reason entities miss statutory notification deadlines.</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Document an incident response procedure covering detection, containment, assessment, notification and post-incident review. Name the decision-maker for each step and run one tabletop drill to validate that the timelines are achievable.</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Response awaited.</w:t>
            </w:r>
          </w:p>
        </w:tc>
      </w:tr>
    </w:tbl>
    <w:p/>
    <w:p>
      <w:pPr>
        <w:pStyle w:val="Heading2"/>
      </w:pPr>
      <w:r>
        <w:t>5.5  R7.2 - Intimation to affected Data Principals</w:t>
      </w:r>
    </w:p>
    <w:p>
      <w:r>
        <w:rPr>
          <w:color w:val="555555"/>
          <w:sz w:val="17"/>
        </w:rPr>
        <w:t>DPDP Rules, 2025 - Rule 7 read with Section 8(6), DPDP Act, 2023   |   Status: Absent   |   Severity: High   |   Weight: 4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No template or defined channel exists for intimating affected Data Principals of a personal data breach.</w:t>
            </w:r>
          </w:p>
        </w:tc>
      </w:tr>
      <w:tr>
        <w:tc>
          <w:tcPr>
            <w:tcW w:type="dxa" w:w="2160"/>
            <w:shd w:val="clear" w:fill="F2F2F2"/>
          </w:tcPr>
          <w:p>
            <w:pPr>
              <w:spacing w:after="40"/>
            </w:pPr>
            <w:r/>
            <w:r>
              <w:rPr>
                <w:b/>
                <w:sz w:val="19"/>
              </w:rPr>
              <w:t>Impact</w:t>
            </w:r>
          </w:p>
        </w:tc>
        <w:tc>
          <w:tcPr>
            <w:tcW w:type="dxa" w:w="7056"/>
          </w:tcPr>
          <w:p>
            <w:pPr>
              <w:spacing w:after="40"/>
            </w:pPr>
            <w:r/>
            <w:r>
              <w:rPr>
                <w:b w:val="0"/>
                <w:sz w:val="19"/>
              </w:rPr>
              <w:t>Individual intimation is a universal obligation under the Act with no risk-based threshold, unlike GDPR. Drafting the communication during a live incident invites both delay and inaccurate disclosure, either of which worsens the regulatory position.</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Prepare a Data Principal intimation template covering all prescribed contents, and confirm that current contact records are adequate to reach the data population.</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Response awaited.</w:t>
            </w:r>
          </w:p>
        </w:tc>
      </w:tr>
    </w:tbl>
    <w:p/>
    <w:p>
      <w:pPr>
        <w:pStyle w:val="Heading2"/>
      </w:pPr>
      <w:r>
        <w:t>5.6  R7.3 - Initial intimation to the Data Protection Board</w:t>
      </w:r>
    </w:p>
    <w:p>
      <w:r>
        <w:rPr>
          <w:color w:val="555555"/>
          <w:sz w:val="17"/>
        </w:rPr>
        <w:t>DPDP Rules, 2025 - Rule 7 read with Section 8(6), DPDP Act, 2023   |   Status: Absent   |   Severity: High   |   Weight: 4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No process exists for making the initial intimation to the Data Protection Board without delay on becoming aware of a personal data breach.</w:t>
            </w:r>
          </w:p>
        </w:tc>
      </w:tr>
      <w:tr>
        <w:tc>
          <w:tcPr>
            <w:tcW w:type="dxa" w:w="2160"/>
            <w:shd w:val="clear" w:fill="F2F2F2"/>
          </w:tcPr>
          <w:p>
            <w:pPr>
              <w:spacing w:after="40"/>
            </w:pPr>
            <w:r/>
            <w:r>
              <w:rPr>
                <w:b/>
                <w:sz w:val="19"/>
              </w:rPr>
              <w:t>Impact</w:t>
            </w:r>
          </w:p>
        </w:tc>
        <w:tc>
          <w:tcPr>
            <w:tcW w:type="dxa" w:w="7056"/>
          </w:tcPr>
          <w:p>
            <w:pPr>
              <w:spacing w:after="40"/>
            </w:pPr>
            <w:r/>
            <w:r>
              <w:rPr>
                <w:b w:val="0"/>
                <w:sz w:val="19"/>
              </w:rPr>
              <w:t>Regulators consistently treat a delayed notification more harshly than an early one that acknowledges an investigation still in progress. A breach that becomes public before the Board is formally notified attracts additional scrutiny.</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Prepare the initial intimation template, confirm the Board's filing channel, and name the person authorised to file without needing further approval.</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Response awaited.</w:t>
            </w:r>
          </w:p>
        </w:tc>
      </w:tr>
    </w:tbl>
    <w:p/>
    <w:p>
      <w:pPr>
        <w:pStyle w:val="Heading2"/>
      </w:pPr>
      <w:r>
        <w:t>5.7  S4.1 - Notice to Data Principals whose consent predates the Act</w:t>
      </w:r>
    </w:p>
    <w:p>
      <w:r>
        <w:rPr>
          <w:color w:val="555555"/>
          <w:sz w:val="17"/>
        </w:rPr>
        <w:t>DPDP Act, 2023 - Section 4 read with Sections 5(2), 6 and 7   |   Status: Absent   |   Severity: High   |   Weight: 4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The entity has not given the Section 5(2) notice to Data Principals whose personal data it still processes on consent obtained before the Act commenced.</w:t>
            </w:r>
          </w:p>
        </w:tc>
      </w:tr>
      <w:tr>
        <w:tc>
          <w:tcPr>
            <w:tcW w:type="dxa" w:w="2160"/>
            <w:shd w:val="clear" w:fill="F2F2F2"/>
          </w:tcPr>
          <w:p>
            <w:pPr>
              <w:spacing w:after="40"/>
            </w:pPr>
            <w:r/>
            <w:r>
              <w:rPr>
                <w:b/>
                <w:sz w:val="19"/>
              </w:rPr>
              <w:t>Impact</w:t>
            </w:r>
          </w:p>
        </w:tc>
        <w:tc>
          <w:tcPr>
            <w:tcW w:type="dxa" w:w="7056"/>
          </w:tcPr>
          <w:p>
            <w:pPr>
              <w:spacing w:after="40"/>
            </w:pPr>
            <w:r/>
            <w:r>
              <w:rPr>
                <w:b w:val="0"/>
                <w:sz w:val="19"/>
              </w:rPr>
              <w:t>The entity cannot show that those Data Principals were told what is held, why, and how to withdraw consent or complain, and the burden of proving notice rests on the entity under Section 6(10).</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Identify each group of Data Principals processed on earlier consent. Send them a notice meeting Rule 3, framed as a notice rather than a fresh consent request, and keep a dated dispatch record against the version of the notice sent.</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A section 5(2) notice will be sent to existing dealers and customers.</w:t>
              <w:br/>
              <w:br/>
              <w:t>Owner: Company Secretary   |   Target date: 2026-12-31</w:t>
            </w:r>
          </w:p>
        </w:tc>
      </w:tr>
    </w:tbl>
    <w:p/>
    <w:p>
      <w:pPr>
        <w:pStyle w:val="Heading2"/>
      </w:pPr>
      <w:r>
        <w:t>5.8  S4.3 - Withdrawal of consent works in practice</w:t>
      </w:r>
    </w:p>
    <w:p>
      <w:r>
        <w:rPr>
          <w:color w:val="555555"/>
          <w:sz w:val="17"/>
        </w:rPr>
        <w:t>DPDP Act, 2023 - Section 4 read with Sections 5(2), 6 and 7   |   Status: Absent   |   Severity: High   |   Weight: 4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Withdrawal of consent is harder than giving it, or the entity cannot show that processing, including at its processors, stops within a reasonable time after a withdrawal.</w:t>
            </w:r>
          </w:p>
        </w:tc>
      </w:tr>
      <w:tr>
        <w:tc>
          <w:tcPr>
            <w:tcW w:type="dxa" w:w="2160"/>
            <w:shd w:val="clear" w:fill="F2F2F2"/>
          </w:tcPr>
          <w:p>
            <w:pPr>
              <w:spacing w:after="40"/>
            </w:pPr>
            <w:r/>
            <w:r>
              <w:rPr>
                <w:b/>
                <w:sz w:val="19"/>
              </w:rPr>
              <w:t>Impact</w:t>
            </w:r>
          </w:p>
        </w:tc>
        <w:tc>
          <w:tcPr>
            <w:tcW w:type="dxa" w:w="7056"/>
          </w:tcPr>
          <w:p>
            <w:pPr>
              <w:spacing w:after="40"/>
            </w:pPr>
            <w:r/>
            <w:r>
              <w:rPr>
                <w:b w:val="0"/>
                <w:sz w:val="19"/>
              </w:rPr>
              <w:t>Processing that continues after withdrawal has no consent to rest on, and a withdrawal route harder than the consent route does not meet Section 6(4).</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Offer withdrawal on the same channel as consent, with no more steps. Define who acts on a withdrawal, by when processing stops, and the instruction sent to each Data Processor, and keep a dated record of each withdrawal handled.</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An email withdrawal route will be added and processors instructed on each withdrawal.</w:t>
              <w:br/>
              <w:br/>
              <w:t>Owner: Head of Customer Service   |   Target date: 2026-11-30</w:t>
            </w:r>
          </w:p>
        </w:tc>
      </w:tr>
    </w:tbl>
    <w:p/>
    <w:p>
      <w:pPr>
        <w:pStyle w:val="Heading2"/>
      </w:pPr>
      <w:r>
        <w:t>5.9  R6.6 - Backup and continuity measures</w:t>
      </w:r>
    </w:p>
    <w:p>
      <w:r>
        <w:rPr>
          <w:color w:val="555555"/>
          <w:sz w:val="17"/>
        </w:rPr>
        <w:t>DPDP Rules, 2025 - Rule 6 read with Section 8(5), DPDP Act, 2023   |   Status: Partial   |   Severity: Medium   |   Weight: 3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Backup and continuity measures for personal data are not defined, or restoration has not been tested.</w:t>
            </w:r>
          </w:p>
        </w:tc>
      </w:tr>
      <w:tr>
        <w:tc>
          <w:tcPr>
            <w:tcW w:type="dxa" w:w="2160"/>
            <w:shd w:val="clear" w:fill="F2F2F2"/>
          </w:tcPr>
          <w:p>
            <w:pPr>
              <w:spacing w:after="40"/>
            </w:pPr>
            <w:r/>
            <w:r>
              <w:rPr>
                <w:b/>
                <w:sz w:val="19"/>
              </w:rPr>
              <w:t>Impact</w:t>
            </w:r>
          </w:p>
        </w:tc>
        <w:tc>
          <w:tcPr>
            <w:tcW w:type="dxa" w:w="7056"/>
          </w:tcPr>
          <w:p>
            <w:pPr>
              <w:spacing w:after="40"/>
            </w:pPr>
            <w:r/>
            <w:r>
              <w:rPr>
                <w:b w:val="0"/>
                <w:sz w:val="19"/>
              </w:rPr>
              <w:t>Loss of availability is itself a personal data breach under the Act. An untested backup provides no assurance of recovery and does not discharge the safeguard duty.</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Define a backup schedule covering every system in the data inventory, encrypt the backups, and run a documented restoration test at least annually.</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Quarterly restore test to be scheduled.</w:t>
              <w:br/>
              <w:br/>
              <w:t>Owner: IT Head   |   Target date: 2026-12-31</w:t>
            </w:r>
          </w:p>
        </w:tc>
      </w:tr>
    </w:tbl>
    <w:p/>
    <w:p>
      <w:pPr>
        <w:pStyle w:val="Heading2"/>
      </w:pPr>
      <w:r>
        <w:t>5.10  R6.7 - Periodic vulnerability assessment or security testing</w:t>
      </w:r>
    </w:p>
    <w:p>
      <w:r>
        <w:rPr>
          <w:color w:val="555555"/>
          <w:sz w:val="17"/>
        </w:rPr>
        <w:t>DPDP Rules, 2025 - Rule 6 read with Section 8(5), DPDP Act, 2023   |   Status: Absent   |   Severity: Medium   |   Weight: 3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No periodic vulnerability assessment or security testing is carried out on systems holding personal data.</w:t>
            </w:r>
          </w:p>
        </w:tc>
      </w:tr>
      <w:tr>
        <w:tc>
          <w:tcPr>
            <w:tcW w:type="dxa" w:w="2160"/>
            <w:shd w:val="clear" w:fill="F2F2F2"/>
          </w:tcPr>
          <w:p>
            <w:pPr>
              <w:spacing w:after="40"/>
            </w:pPr>
            <w:r/>
            <w:r>
              <w:rPr>
                <w:b/>
                <w:sz w:val="19"/>
              </w:rPr>
              <w:t>Impact</w:t>
            </w:r>
          </w:p>
        </w:tc>
        <w:tc>
          <w:tcPr>
            <w:tcW w:type="dxa" w:w="7056"/>
          </w:tcPr>
          <w:p>
            <w:pPr>
              <w:spacing w:after="40"/>
            </w:pPr>
            <w:r/>
            <w:r>
              <w:rPr>
                <w:b w:val="0"/>
                <w:sz w:val="19"/>
              </w:rPr>
              <w:t>Known and patchable weaknesses persist undetected. Where a breach exploits an unpatched vulnerability, the absence of any testing regime makes the safeguards difficult to characterise as reasonable.</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Institute a periodic vulnerability scan with a defined frequency, and track findings to closure in a remediation register with owners and dates.</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Response awaited.</w:t>
            </w:r>
          </w:p>
        </w:tc>
      </w:tr>
    </w:tbl>
    <w:p/>
    <w:p>
      <w:pPr>
        <w:pStyle w:val="Heading2"/>
      </w:pPr>
      <w:r>
        <w:t>5.11  R7.5 - CERT-In six-hour obligation recognised as parallel</w:t>
      </w:r>
    </w:p>
    <w:p>
      <w:r>
        <w:rPr>
          <w:color w:val="555555"/>
          <w:sz w:val="17"/>
        </w:rPr>
        <w:t>DPDP Rules, 2025 - Rule 7 read with Section 8(6), DPDP Act, 2023   |   Status: Absent   |   Severity: Medium   |   Weight: 3   |   Citation pending verification</w:t>
      </w:r>
    </w:p>
    <w:tbl>
      <w:tblPr>
        <w:tblStyle w:val="TableGrid"/>
        <w:tblW w:type="auto" w:w="0"/>
        <w:tblLook w:firstColumn="1" w:firstRow="1" w:lastColumn="0" w:lastRow="0" w:noHBand="0" w:noVBand="1" w:val="04A0"/>
      </w:tblPr>
      <w:tblGrid>
        <w:gridCol w:w="4824"/>
        <w:gridCol w:w="4824"/>
      </w:tblGrid>
      <w:tr>
        <w:tc>
          <w:tcPr>
            <w:tcW w:type="dxa" w:w="2160"/>
            <w:shd w:val="clear" w:fill="F2F2F2"/>
          </w:tcPr>
          <w:p>
            <w:pPr>
              <w:spacing w:after="40"/>
            </w:pPr>
            <w:r/>
            <w:r>
              <w:rPr>
                <w:b/>
                <w:sz w:val="19"/>
              </w:rPr>
              <w:t>Observation</w:t>
            </w:r>
          </w:p>
        </w:tc>
        <w:tc>
          <w:tcPr>
            <w:tcW w:type="dxa" w:w="7056"/>
          </w:tcPr>
          <w:p>
            <w:pPr>
              <w:spacing w:after="40"/>
            </w:pPr>
            <w:r/>
            <w:r>
              <w:rPr>
                <w:b w:val="0"/>
                <w:sz w:val="19"/>
              </w:rPr>
              <w:t>The breach response procedure does not recognise the separate CERT-In reporting obligation running on a six-hour clock alongside the Board notification.</w:t>
            </w:r>
          </w:p>
        </w:tc>
      </w:tr>
      <w:tr>
        <w:tc>
          <w:tcPr>
            <w:tcW w:type="dxa" w:w="2160"/>
            <w:shd w:val="clear" w:fill="F2F2F2"/>
          </w:tcPr>
          <w:p>
            <w:pPr>
              <w:spacing w:after="40"/>
            </w:pPr>
            <w:r/>
            <w:r>
              <w:rPr>
                <w:b/>
                <w:sz w:val="19"/>
              </w:rPr>
              <w:t>Impact</w:t>
            </w:r>
          </w:p>
        </w:tc>
        <w:tc>
          <w:tcPr>
            <w:tcW w:type="dxa" w:w="7056"/>
          </w:tcPr>
          <w:p>
            <w:pPr>
              <w:spacing w:after="40"/>
            </w:pPr>
            <w:r/>
            <w:r>
              <w:rPr>
                <w:b w:val="0"/>
                <w:sz w:val="19"/>
              </w:rPr>
              <w:t>A single incident can breach two distinct regulatory regimes. Meeting the Board timeline does not discharge the CERT-In duty, and a procedure built around one clock will systematically miss the shorter one.</w:t>
            </w:r>
          </w:p>
        </w:tc>
      </w:tr>
      <w:tr>
        <w:tc>
          <w:tcPr>
            <w:tcW w:type="dxa" w:w="2160"/>
            <w:shd w:val="clear" w:fill="F2F2F2"/>
          </w:tcPr>
          <w:p>
            <w:pPr>
              <w:spacing w:after="40"/>
            </w:pPr>
            <w:r/>
            <w:r>
              <w:rPr>
                <w:b/>
                <w:sz w:val="19"/>
              </w:rPr>
              <w:t>Further Actions</w:t>
            </w:r>
          </w:p>
        </w:tc>
        <w:tc>
          <w:tcPr>
            <w:tcW w:type="dxa" w:w="7056"/>
          </w:tcPr>
          <w:p>
            <w:pPr>
              <w:spacing w:after="40"/>
            </w:pPr>
            <w:r/>
            <w:r>
              <w:rPr>
                <w:b w:val="0"/>
                <w:sz w:val="19"/>
              </w:rPr>
              <w:t>Add a dual-clock section to the incident procedure setting out both the CERT-In and Board timelines from the point of awareness, with the applicable incident categories for each.</w:t>
            </w:r>
          </w:p>
        </w:tc>
      </w:tr>
      <w:tr>
        <w:tc>
          <w:tcPr>
            <w:tcW w:type="dxa" w:w="2160"/>
            <w:shd w:val="clear" w:fill="F2F2F2"/>
          </w:tcPr>
          <w:p>
            <w:pPr>
              <w:spacing w:after="40"/>
            </w:pPr>
            <w:r/>
            <w:r>
              <w:rPr>
                <w:b/>
                <w:sz w:val="19"/>
              </w:rPr>
              <w:t>Management Response</w:t>
            </w:r>
          </w:p>
        </w:tc>
        <w:tc>
          <w:tcPr>
            <w:tcW w:type="dxa" w:w="7056"/>
          </w:tcPr>
          <w:p>
            <w:pPr>
              <w:spacing w:after="40"/>
            </w:pPr>
            <w:r/>
            <w:r>
              <w:rPr>
                <w:b w:val="0"/>
                <w:sz w:val="19"/>
              </w:rPr>
              <w:t>Response awaited.</w:t>
            </w:r>
          </w:p>
        </w:tc>
      </w:tr>
    </w:tbl>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DPDP Readiness Assessment - Meridian Textiles Private Limited (sample) - Observations only, not an assurance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