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00"/>
      </w:pPr>
      <w:r>
        <w:t xml:space="preserve">IPO_Tracker - Websites Used</w:t>
      </w:r>
    </w:p>
    <w:p>
      <w:pPr>
        <w:spacing w:after="120"/>
      </w:pPr>
      <w:r>
        <w:t xml:space="preserve">These public websites are the data sources the application reads. IPO_Tracker only reads publicly visible pages and data; it does not log in to any account.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100"/>
      </w:tblGrid>
      <w:tr>
        <w:trPr>
          <w:tblHeader/>
        </w:trPr>
        <w:tc>
          <w:tcPr>
            <w:tcW w:type="dxa" w:w="2000"/>
            <w:tcBorders>
              <w:top w:val="single" w:color="C9D3EA" w:sz="4"/>
              <w:left w:val="single" w:color="C9D3EA" w:sz="4"/>
              <w:bottom w:val="single" w:color="C9D3EA" w:sz="4"/>
              <w:right w:val="single" w:color="C9D3EA" w:sz="4"/>
            </w:tcBorders>
            <w:shd w:fill="DCE4FF" w:color="auto" w:val="clear"/>
            <w:tcMar>
              <w:top w:type="dxa" w:w="70"/>
              <w:left w:type="dxa" w:w="110"/>
              <w:bottom w:type="dxa" w:w="70"/>
              <w:right w:type="dxa" w:w="110"/>
            </w:tcMar>
          </w:tcPr>
          <w:p>
            <w:r>
              <w:rPr>
                <w:b/>
                <w:bCs/>
              </w:rPr>
              <w:t xml:space="preserve">Website</w:t>
            </w:r>
          </w:p>
        </w:tc>
        <w:tc>
          <w:tcPr>
            <w:tcW w:type="dxa" w:w="2900"/>
            <w:tcBorders>
              <w:top w:val="single" w:color="C9D3EA" w:sz="4"/>
              <w:left w:val="single" w:color="C9D3EA" w:sz="4"/>
              <w:bottom w:val="single" w:color="C9D3EA" w:sz="4"/>
              <w:right w:val="single" w:color="C9D3EA" w:sz="4"/>
            </w:tcBorders>
            <w:shd w:fill="DCE4FF" w:color="auto" w:val="clear"/>
            <w:tcMar>
              <w:top w:type="dxa" w:w="70"/>
              <w:left w:type="dxa" w:w="110"/>
              <w:bottom w:type="dxa" w:w="70"/>
              <w:right w:type="dxa" w:w="110"/>
            </w:tcMar>
          </w:tcPr>
          <w:p>
            <w:r>
              <w:rPr>
                <w:b/>
                <w:bCs/>
              </w:rPr>
              <w:t xml:space="preserve">Address</w:t>
            </w:r>
          </w:p>
        </w:tc>
        <w:tc>
          <w:tcPr>
            <w:tcW w:type="dxa" w:w="4100"/>
            <w:tcBorders>
              <w:top w:val="single" w:color="C9D3EA" w:sz="4"/>
              <w:left w:val="single" w:color="C9D3EA" w:sz="4"/>
              <w:bottom w:val="single" w:color="C9D3EA" w:sz="4"/>
              <w:right w:val="single" w:color="C9D3EA" w:sz="4"/>
            </w:tcBorders>
            <w:shd w:fill="DCE4FF" w:color="auto" w:val="clear"/>
            <w:tcMar>
              <w:top w:type="dxa" w:w="70"/>
              <w:left w:type="dxa" w:w="110"/>
              <w:bottom w:type="dxa" w:w="70"/>
              <w:right w:type="dxa" w:w="110"/>
            </w:tcMar>
          </w:tcPr>
          <w:p>
            <w:r>
              <w:rPr>
                <w:b/>
                <w:bCs/>
              </w:rPr>
              <w:t xml:space="preserve">Used for</w:t>
            </w:r>
          </w:p>
        </w:tc>
      </w:tr>
      <w:tr>
        <w:tc>
          <w:tcPr>
            <w:tcW w:type="dxa" w:w="2000"/>
            <w:tcBorders>
              <w:top w:val="single" w:color="C9D3EA" w:sz="4"/>
              <w:left w:val="single" w:color="C9D3EA" w:sz="4"/>
              <w:bottom w:val="single" w:color="C9D3EA" w:sz="4"/>
              <w:right w:val="single" w:color="C9D3EA" w:sz="4"/>
            </w:tcBorders>
            <w:shd w:fill="F4F8FF" w:color="auto" w:val="clear"/>
            <w:tcMar>
              <w:top w:type="dxa" w:w="70"/>
              <w:left w:type="dxa" w:w="110"/>
              <w:bottom w:type="dxa" w:w="70"/>
              <w:right w:type="dxa" w:w="110"/>
            </w:tcMar>
          </w:tcPr>
          <w:p>
            <w:r>
              <w:rPr>
                <w:b w:val="false"/>
                <w:bCs w:val="false"/>
              </w:rPr>
              <w:t xml:space="preserve">Chittorgarh.com</w:t>
            </w:r>
          </w:p>
        </w:tc>
        <w:tc>
          <w:tcPr>
            <w:tcW w:type="dxa" w:w="2900"/>
            <w:tcBorders>
              <w:top w:val="single" w:color="C9D3EA" w:sz="4"/>
              <w:left w:val="single" w:color="C9D3EA" w:sz="4"/>
              <w:bottom w:val="single" w:color="C9D3EA" w:sz="4"/>
              <w:right w:val="single" w:color="C9D3EA" w:sz="4"/>
            </w:tcBorders>
            <w:shd w:fill="F4F8FF" w:color="auto" w:val="clear"/>
            <w:tcMar>
              <w:top w:type="dxa" w:w="70"/>
              <w:left w:type="dxa" w:w="110"/>
              <w:bottom w:type="dxa" w:w="70"/>
              <w:right w:type="dxa" w:w="110"/>
            </w:tcMar>
          </w:tcPr>
          <w:p>
            <w:r>
              <w:rPr>
                <w:b w:val="false"/>
                <w:bCs w:val="false"/>
              </w:rPr>
              <w:t xml:space="preserve">https://www.chittorgarh.com</w:t>
            </w:r>
          </w:p>
        </w:tc>
        <w:tc>
          <w:tcPr>
            <w:tcW w:type="dxa" w:w="4100"/>
            <w:tcBorders>
              <w:top w:val="single" w:color="C9D3EA" w:sz="4"/>
              <w:left w:val="single" w:color="C9D3EA" w:sz="4"/>
              <w:bottom w:val="single" w:color="C9D3EA" w:sz="4"/>
              <w:right w:val="single" w:color="C9D3EA" w:sz="4"/>
            </w:tcBorders>
            <w:shd w:fill="F4F8FF" w:color="auto" w:val="clear"/>
            <w:tcMar>
              <w:top w:type="dxa" w:w="70"/>
              <w:left w:type="dxa" w:w="110"/>
              <w:bottom w:type="dxa" w:w="70"/>
              <w:right w:type="dxa" w:w="110"/>
            </w:tcMar>
          </w:tcPr>
          <w:p>
            <w:r>
              <w:rPr>
                <w:b w:val="false"/>
                <w:bCs w:val="false"/>
              </w:rPr>
              <w:t xml:space="preserve">IPO lists (mainboard and SME), dates, price bands, issue size, financial tables and broker review tables on IPO pages.</w:t>
            </w:r>
          </w:p>
        </w:tc>
      </w:tr>
      <w:tr>
        <w:tc>
          <w:tcPr>
            <w:tcW w:type="dxa" w:w="2000"/>
            <w:tcBorders>
              <w:top w:val="single" w:color="C9D3EA" w:sz="4"/>
              <w:left w:val="single" w:color="C9D3EA" w:sz="4"/>
              <w:bottom w:val="single" w:color="C9D3EA" w:sz="4"/>
              <w:right w:val="single" w:color="C9D3EA" w:sz="4"/>
            </w:tcBorders>
            <w:shd w:fill="FFF5F8" w:color="auto" w:val="clear"/>
            <w:tcMar>
              <w:top w:type="dxa" w:w="70"/>
              <w:left w:type="dxa" w:w="110"/>
              <w:bottom w:type="dxa" w:w="70"/>
              <w:right w:type="dxa" w:w="110"/>
            </w:tcMar>
          </w:tcPr>
          <w:p>
            <w:r>
              <w:rPr>
                <w:b w:val="false"/>
                <w:bCs w:val="false"/>
              </w:rPr>
              <w:t xml:space="preserve">NSE India</w:t>
            </w:r>
          </w:p>
        </w:tc>
        <w:tc>
          <w:tcPr>
            <w:tcW w:type="dxa" w:w="2900"/>
            <w:tcBorders>
              <w:top w:val="single" w:color="C9D3EA" w:sz="4"/>
              <w:left w:val="single" w:color="C9D3EA" w:sz="4"/>
              <w:bottom w:val="single" w:color="C9D3EA" w:sz="4"/>
              <w:right w:val="single" w:color="C9D3EA" w:sz="4"/>
            </w:tcBorders>
            <w:shd w:fill="FFF5F8" w:color="auto" w:val="clear"/>
            <w:tcMar>
              <w:top w:type="dxa" w:w="70"/>
              <w:left w:type="dxa" w:w="110"/>
              <w:bottom w:type="dxa" w:w="70"/>
              <w:right w:type="dxa" w:w="110"/>
            </w:tcMar>
          </w:tcPr>
          <w:p>
            <w:r>
              <w:rPr>
                <w:b w:val="false"/>
                <w:bCs w:val="false"/>
              </w:rPr>
              <w:t xml:space="preserve">https://www.nseindia.com</w:t>
            </w:r>
          </w:p>
        </w:tc>
        <w:tc>
          <w:tcPr>
            <w:tcW w:type="dxa" w:w="4100"/>
            <w:tcBorders>
              <w:top w:val="single" w:color="C9D3EA" w:sz="4"/>
              <w:left w:val="single" w:color="C9D3EA" w:sz="4"/>
              <w:bottom w:val="single" w:color="C9D3EA" w:sz="4"/>
              <w:right w:val="single" w:color="C9D3EA" w:sz="4"/>
            </w:tcBorders>
            <w:shd w:fill="FFF5F8" w:color="auto" w:val="clear"/>
            <w:tcMar>
              <w:top w:type="dxa" w:w="70"/>
              <w:left w:type="dxa" w:w="110"/>
              <w:bottom w:type="dxa" w:w="70"/>
              <w:right w:type="dxa" w:w="110"/>
            </w:tcMar>
          </w:tcPr>
          <w:p>
            <w:r>
              <w:rPr>
                <w:b w:val="false"/>
                <w:bCs w:val="false"/>
              </w:rPr>
              <w:t xml:space="preserve">Current and upcoming public issues (official exchange data).</w:t>
            </w:r>
          </w:p>
        </w:tc>
      </w:tr>
      <w:tr>
        <w:tc>
          <w:tcPr>
            <w:tcW w:type="dxa" w:w="2000"/>
            <w:tcBorders>
              <w:top w:val="single" w:color="C9D3EA" w:sz="4"/>
              <w:left w:val="single" w:color="C9D3EA" w:sz="4"/>
              <w:bottom w:val="single" w:color="C9D3EA" w:sz="4"/>
              <w:right w:val="single" w:color="C9D3EA" w:sz="4"/>
            </w:tcBorders>
            <w:shd w:fill="F2FBF5" w:color="auto" w:val="clear"/>
            <w:tcMar>
              <w:top w:type="dxa" w:w="70"/>
              <w:left w:type="dxa" w:w="110"/>
              <w:bottom w:type="dxa" w:w="70"/>
              <w:right w:type="dxa" w:w="110"/>
            </w:tcMar>
          </w:tcPr>
          <w:p>
            <w:r>
              <w:rPr>
                <w:b w:val="false"/>
                <w:bCs w:val="false"/>
              </w:rPr>
              <w:t xml:space="preserve">BSE India</w:t>
            </w:r>
          </w:p>
        </w:tc>
        <w:tc>
          <w:tcPr>
            <w:tcW w:type="dxa" w:w="2900"/>
            <w:tcBorders>
              <w:top w:val="single" w:color="C9D3EA" w:sz="4"/>
              <w:left w:val="single" w:color="C9D3EA" w:sz="4"/>
              <w:bottom w:val="single" w:color="C9D3EA" w:sz="4"/>
              <w:right w:val="single" w:color="C9D3EA" w:sz="4"/>
            </w:tcBorders>
            <w:shd w:fill="F2FBF5" w:color="auto" w:val="clear"/>
            <w:tcMar>
              <w:top w:type="dxa" w:w="70"/>
              <w:left w:type="dxa" w:w="110"/>
              <w:bottom w:type="dxa" w:w="70"/>
              <w:right w:type="dxa" w:w="110"/>
            </w:tcMar>
          </w:tcPr>
          <w:p>
            <w:r>
              <w:rPr>
                <w:b w:val="false"/>
                <w:bCs w:val="false"/>
              </w:rPr>
              <w:t xml:space="preserve">https://www.bseindia.com</w:t>
            </w:r>
          </w:p>
        </w:tc>
        <w:tc>
          <w:tcPr>
            <w:tcW w:type="dxa" w:w="4100"/>
            <w:tcBorders>
              <w:top w:val="single" w:color="C9D3EA" w:sz="4"/>
              <w:left w:val="single" w:color="C9D3EA" w:sz="4"/>
              <w:bottom w:val="single" w:color="C9D3EA" w:sz="4"/>
              <w:right w:val="single" w:color="C9D3EA" w:sz="4"/>
            </w:tcBorders>
            <w:shd w:fill="F2FBF5" w:color="auto" w:val="clear"/>
            <w:tcMar>
              <w:top w:type="dxa" w:w="70"/>
              <w:left w:type="dxa" w:w="110"/>
              <w:bottom w:type="dxa" w:w="70"/>
              <w:right w:type="dxa" w:w="110"/>
            </w:tcMar>
          </w:tcPr>
          <w:p>
            <w:r>
              <w:rPr>
                <w:b w:val="false"/>
                <w:bCs w:val="false"/>
              </w:rPr>
              <w:t xml:space="preserve">Public issues and listing information (official exchange data, reference source).</w:t>
            </w:r>
          </w:p>
        </w:tc>
      </w:tr>
      <w:tr>
        <w:tc>
          <w:tcPr>
            <w:tcW w:type="dxa" w:w="2000"/>
            <w:tcBorders>
              <w:top w:val="single" w:color="C9D3EA" w:sz="4"/>
              <w:left w:val="single" w:color="C9D3EA" w:sz="4"/>
              <w:bottom w:val="single" w:color="C9D3EA" w:sz="4"/>
              <w:right w:val="single" w:color="C9D3EA" w:sz="4"/>
            </w:tcBorders>
            <w:shd w:fill="FFFAEB" w:color="auto" w:val="clear"/>
            <w:tcMar>
              <w:top w:type="dxa" w:w="70"/>
              <w:left w:type="dxa" w:w="110"/>
              <w:bottom w:type="dxa" w:w="70"/>
              <w:right w:type="dxa" w:w="110"/>
            </w:tcMar>
          </w:tcPr>
          <w:p>
            <w:r>
              <w:rPr>
                <w:b w:val="false"/>
                <w:bCs w:val="false"/>
              </w:rPr>
              <w:t xml:space="preserve">Yahoo Finance</w:t>
            </w:r>
          </w:p>
        </w:tc>
        <w:tc>
          <w:tcPr>
            <w:tcW w:type="dxa" w:w="2900"/>
            <w:tcBorders>
              <w:top w:val="single" w:color="C9D3EA" w:sz="4"/>
              <w:left w:val="single" w:color="C9D3EA" w:sz="4"/>
              <w:bottom w:val="single" w:color="C9D3EA" w:sz="4"/>
              <w:right w:val="single" w:color="C9D3EA" w:sz="4"/>
            </w:tcBorders>
            <w:shd w:fill="FFFAEB" w:color="auto" w:val="clear"/>
            <w:tcMar>
              <w:top w:type="dxa" w:w="70"/>
              <w:left w:type="dxa" w:w="110"/>
              <w:bottom w:type="dxa" w:w="70"/>
              <w:right w:type="dxa" w:w="110"/>
            </w:tcMar>
          </w:tcPr>
          <w:p>
            <w:r>
              <w:rPr>
                <w:b w:val="false"/>
                <w:bCs w:val="false"/>
              </w:rPr>
              <w:t xml:space="preserve">https://finance.yahoo.com</w:t>
            </w:r>
          </w:p>
        </w:tc>
        <w:tc>
          <w:tcPr>
            <w:tcW w:type="dxa" w:w="4100"/>
            <w:tcBorders>
              <w:top w:val="single" w:color="C9D3EA" w:sz="4"/>
              <w:left w:val="single" w:color="C9D3EA" w:sz="4"/>
              <w:bottom w:val="single" w:color="C9D3EA" w:sz="4"/>
              <w:right w:val="single" w:color="C9D3EA" w:sz="4"/>
            </w:tcBorders>
            <w:shd w:fill="FFFAEB" w:color="auto" w:val="clear"/>
            <w:tcMar>
              <w:top w:type="dxa" w:w="70"/>
              <w:left w:type="dxa" w:w="110"/>
              <w:bottom w:type="dxa" w:w="70"/>
              <w:right w:type="dxa" w:w="110"/>
            </w:tcMar>
          </w:tcPr>
          <w:p>
            <w:r>
              <w:rPr>
                <w:b w:val="false"/>
                <w:bCs w:val="false"/>
              </w:rPr>
              <w:t xml:space="preserve">Current market price (CMP) of listed shares (NSE / BSE tickers).</w:t>
            </w:r>
          </w:p>
        </w:tc>
      </w:tr>
      <w:tr>
        <w:tc>
          <w:tcPr>
            <w:tcW w:type="dxa" w:w="2000"/>
            <w:tcBorders>
              <w:top w:val="single" w:color="C9D3EA" w:sz="4"/>
              <w:left w:val="single" w:color="C9D3EA" w:sz="4"/>
              <w:bottom w:val="single" w:color="C9D3EA" w:sz="4"/>
              <w:right w:val="single" w:color="C9D3EA" w:sz="4"/>
            </w:tcBorders>
            <w:shd w:fill="F6F1FF" w:color="auto" w:val="clear"/>
            <w:tcMar>
              <w:top w:type="dxa" w:w="70"/>
              <w:left w:type="dxa" w:w="110"/>
              <w:bottom w:type="dxa" w:w="70"/>
              <w:right w:type="dxa" w:w="110"/>
            </w:tcMar>
          </w:tcPr>
          <w:p>
            <w:r>
              <w:rPr>
                <w:b w:val="false"/>
                <w:bCs w:val="false"/>
              </w:rPr>
              <w:t xml:space="preserve">SEBI</w:t>
            </w:r>
          </w:p>
        </w:tc>
        <w:tc>
          <w:tcPr>
            <w:tcW w:type="dxa" w:w="2900"/>
            <w:tcBorders>
              <w:top w:val="single" w:color="C9D3EA" w:sz="4"/>
              <w:left w:val="single" w:color="C9D3EA" w:sz="4"/>
              <w:bottom w:val="single" w:color="C9D3EA" w:sz="4"/>
              <w:right w:val="single" w:color="C9D3EA" w:sz="4"/>
            </w:tcBorders>
            <w:shd w:fill="F6F1FF" w:color="auto" w:val="clear"/>
            <w:tcMar>
              <w:top w:type="dxa" w:w="70"/>
              <w:left w:type="dxa" w:w="110"/>
              <w:bottom w:type="dxa" w:w="70"/>
              <w:right w:type="dxa" w:w="110"/>
            </w:tcMar>
          </w:tcPr>
          <w:p>
            <w:r>
              <w:rPr>
                <w:b w:val="false"/>
                <w:bCs w:val="false"/>
              </w:rPr>
              <w:t xml:space="preserve">https://www.sebi.gov.in</w:t>
            </w:r>
          </w:p>
        </w:tc>
        <w:tc>
          <w:tcPr>
            <w:tcW w:type="dxa" w:w="4100"/>
            <w:tcBorders>
              <w:top w:val="single" w:color="C9D3EA" w:sz="4"/>
              <w:left w:val="single" w:color="C9D3EA" w:sz="4"/>
              <w:bottom w:val="single" w:color="C9D3EA" w:sz="4"/>
              <w:right w:val="single" w:color="C9D3EA" w:sz="4"/>
            </w:tcBorders>
            <w:shd w:fill="F6F1FF" w:color="auto" w:val="clear"/>
            <w:tcMar>
              <w:top w:type="dxa" w:w="70"/>
              <w:left w:type="dxa" w:w="110"/>
              <w:bottom w:type="dxa" w:w="70"/>
              <w:right w:type="dxa" w:w="110"/>
            </w:tcMar>
          </w:tcPr>
          <w:p>
            <w:r>
              <w:rPr>
                <w:b w:val="false"/>
                <w:bCs w:val="false"/>
              </w:rPr>
              <w:t xml:space="preserve">Regulatory reference for IPO rules and offer documents (RHP / DRHP).</w:t>
            </w:r>
          </w:p>
        </w:tc>
      </w:tr>
    </w:tbl>
    <w:p>
      <w:pPr>
        <w:pStyle w:val="Heading2"/>
        <w:spacing w:after="120" w:before="200"/>
      </w:pPr>
      <w:r>
        <w:t xml:space="preserve">Important notes</w:t>
      </w:r>
    </w:p>
    <w:p>
      <w:pPr>
        <w:pStyle w:val="ListParagraph"/>
        <w:numPr>
          <w:ilvl w:val="0"/>
          <w:numId w:val="2"/>
        </w:numPr>
      </w:pPr>
      <w:r>
        <w:t xml:space="preserve">Websites change their layout and data addresses from time to time. If a source stops working, the app falls back to its last saved cache, then to clearly labelled demo data. The addresses can be edited in the settings block at the top of ipo_tracker.py.</w:t>
      </w:r>
    </w:p>
    <w:p>
      <w:pPr>
        <w:pStyle w:val="ListParagraph"/>
        <w:numPr>
          <w:ilvl w:val="0"/>
          <w:numId w:val="2"/>
        </w:numPr>
      </w:pPr>
      <w:r>
        <w:t xml:space="preserve">Chittorgarh loads its IPO tables with JavaScript, so the app reads its data feed rather than the visible page. NSE requires browser-like headers and cookies; the app supplies them.</w:t>
      </w:r>
    </w:p>
    <w:p>
      <w:pPr>
        <w:pStyle w:val="ListParagraph"/>
        <w:numPr>
          <w:ilvl w:val="0"/>
          <w:numId w:val="2"/>
        </w:numPr>
      </w:pPr>
      <w:r>
        <w:t xml:space="preserve">Please respect each website's terms of use. Do not modify the app to make very frequent automated requests.</w:t>
      </w:r>
    </w:p>
    <w:p>
      <w:pPr>
        <w:pStyle w:val="ListParagraph"/>
        <w:numPr>
          <w:ilvl w:val="0"/>
          <w:numId w:val="2"/>
        </w:numPr>
      </w:pPr>
      <w:r>
        <w:t xml:space="preserve">You can also use 'Import CSV' inside the app to load your own IPO list.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4B5BD6"/>
      <w:sz w:val="36"/>
      <w:szCs w:val="36"/>
    </w:rPr>
  </w:style>
  <w:style w:type="paragraph" w:styleId="Heading2">
    <w:name w:val="Heading 2"/>
    <w:basedOn w:val="Normal"/>
    <w:next w:val="Normal"/>
    <w:qFormat/>
    <w:pPr>
      <w:spacing w:after="120" w:before="200"/>
      <w:outlineLvl w:val="1"/>
    </w:pPr>
    <w:rPr>
      <w:rFonts w:ascii="Calibri" w:cs="Calibri" w:eastAsia="Calibri" w:hAnsi="Calibri"/>
      <w:b/>
      <w:bCs/>
      <w:color w:val="1E86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2026-09-29T08:21:39.674Z</dcterms:created>
  <dcterms:modified xsi:type="dcterms:W3CDTF">2026-09-29T08:21:39.674Z</dcterms:modified>
</cp:coreProperties>
</file>

<file path=docProps/custom.xml><?xml version="1.0" encoding="utf-8"?>
<Properties xmlns="http://schemas.openxmlformats.org/officeDocument/2006/custom-properties" xmlns:vt="http://schemas.openxmlformats.org/officeDocument/2006/docPropsVTypes"/>
</file>