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t xml:space="preserve">IPO_Tracker - Brokers and Fund Houses</w:t>
      </w:r>
    </w:p>
    <w:p>
      <w:pPr>
        <w:spacing w:after="120"/>
      </w:pPr>
      <w:r>
        <w:t xml:space="preserve">The opinion section of each upcoming IPO can show views from the brokers, research houses and fund houses below, whenever the data source publishes them for that issue.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3700"/>
      </w:tblGrid>
      <w:tr>
        <w:trPr>
          <w:tblHeader/>
        </w:trP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Angel One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Axis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Anand Rathi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Arihant Capital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Bajaj Broking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Canara Bank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Choice Broking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Geojit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HDFC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ICICI Securities (ICICIdirect)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Kotak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Motilal Oswal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Nirmal Bang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Prabhudas Lilladher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Religare Broking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Reliance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SBI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Sharekhan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SMC Global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Ventura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Hem Securities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 (SME focus)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StoxBox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 / Research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SBI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HDFC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ICICI Prudential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Nippon India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Kotak Mahindra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Axis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Aditya Birla Sun Life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6F1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Mirae Asset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Motilal Oswal Mutual Fund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 house (anchor investor)</w:t>
            </w:r>
          </w:p>
        </w:tc>
      </w:tr>
      <w:tr>
        <w:tc>
          <w:tcPr>
            <w:tcW w:type="dxa" w:w="6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4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Life Insurance Corporation (LIC)</w:t>
            </w:r>
          </w:p>
        </w:tc>
        <w:tc>
          <w:tcPr>
            <w:tcW w:type="dxa" w:w="37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Institutional investor</w:t>
            </w:r>
          </w:p>
        </w:tc>
      </w:tr>
    </w:tbl>
    <w:p>
      <w:pPr>
        <w:pStyle w:val="Heading2"/>
        <w:spacing w:after="120" w:before="200"/>
      </w:pPr>
      <w:r>
        <w:t xml:space="preserve">How these opinions are handled</w:t>
      </w:r>
    </w:p>
    <w:p>
      <w:pPr>
        <w:spacing w:after="120"/>
      </w:pPr>
      <w:r>
        <w:t xml:space="preserve">The app only displays opinions that the data source actually publishes for an IPO. Any broker or fund house not listed on the source for a particular issue is shown as 'not available' - the app never invents an opinion. Fund-house 'opinion' is normally visible only through anchor-investor participation, not as a written rating.</w:t>
      </w:r>
    </w:p>
    <w:p>
      <w:pPr>
        <w:pStyle w:val="ListParagraph"/>
        <w:numPr>
          <w:ilvl w:val="0"/>
          <w:numId w:val="2"/>
        </w:numPr>
      </w:pPr>
      <w:r>
        <w:t xml:space="preserve">Broker views (for example Subscribe, May Apply, Neutral, Avoid) are read from the source's review table and colour-coded green, amber or red.</w:t>
      </w:r>
    </w:p>
    <w:p>
      <w:pPr>
        <w:pStyle w:val="ListParagraph"/>
        <w:numPr>
          <w:ilvl w:val="0"/>
          <w:numId w:val="2"/>
        </w:numPr>
      </w:pPr>
      <w:r>
        <w:t xml:space="preserve">Fund-house participation is normally visible as anchor-investor allocation, not as a written rating.</w:t>
      </w:r>
    </w:p>
    <w:p>
      <w:pPr>
        <w:pStyle w:val="ListParagraph"/>
        <w:numPr>
          <w:ilvl w:val="0"/>
          <w:numId w:val="2"/>
        </w:numPr>
      </w:pPr>
      <w:r>
        <w:t xml:space="preserve">Which names actually appear depends on the source for each IPO; the list above is not a promise that every firm comments on every issue.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4B5BD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E86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2026-09-29T08:21:39.710Z</dcterms:created>
  <dcterms:modified xsi:type="dcterms:W3CDTF">2026-09-29T08:21:39.710Z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