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4E78"/>
          <w:sz w:val="48"/>
          <w:szCs w:val="48"/>
        </w:rPr>
        <w:t xml:space="preserve">MSME Payables Compliance Tracker</w:t>
      </w:r>
    </w:p>
    <w:p>
      <w:pPr>
        <w:pBdr>
          <w:bottom w:val="single" w:color="1F4E78" w:sz="12" w:space="6"/>
        </w:pBdr>
        <w:spacing w:after="1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Section 43B(h) · MSME Form 1 · Section 16 interest — AICA Level 2 Capstone Project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AICA Level 2 – Capstone Project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Submitted by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Maanav Goenka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Membership number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262344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Working application (Python + Streamlit) with source code, samples and tests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The problem</w:t>
      </w:r>
    </w:p>
    <w:p>
      <w:pPr>
        <w:spacing w:after="110" w:line="276"/>
      </w:pPr>
      <w:r>
        <w:rPr>
          <w:rFonts w:ascii="Calibri" w:cs="Calibri" w:eastAsia="Calibri" w:hAnsi="Calibri"/>
        </w:rPr>
        <w:t xml:space="preserve">Companies buying from </w:t>
      </w:r>
      <w:r>
        <w:rPr>
          <w:rFonts w:ascii="Calibri" w:cs="Calibri" w:eastAsia="Calibri" w:hAnsi="Calibri"/>
          <w:b/>
          <w:bCs/>
        </w:rPr>
        <w:t xml:space="preserve">Micro and Small enterprises (MSEs)</w:t>
      </w:r>
      <w:r>
        <w:rPr>
          <w:rFonts w:ascii="Calibri" w:cs="Calibri" w:eastAsia="Calibri" w:hAnsi="Calibri"/>
        </w:rPr>
        <w:t xml:space="preserve"> must pay within the agreed credit period (</w:t>
      </w:r>
      <w:r>
        <w:rPr>
          <w:rFonts w:ascii="Calibri" w:cs="Calibri" w:eastAsia="Calibri" w:hAnsi="Calibri"/>
          <w:b/>
          <w:bCs/>
        </w:rPr>
        <w:t xml:space="preserve">at most 45 days</w:t>
      </w:r>
      <w:r>
        <w:rPr>
          <w:rFonts w:ascii="Calibri" w:cs="Calibri" w:eastAsia="Calibri" w:hAnsi="Calibri"/>
        </w:rPr>
        <w:t xml:space="preserve">, or </w:t>
      </w:r>
      <w:r>
        <w:rPr>
          <w:rFonts w:ascii="Calibri" w:cs="Calibri" w:eastAsia="Calibri" w:hAnsi="Calibri"/>
          <w:b/>
          <w:bCs/>
        </w:rPr>
        <w:t xml:space="preserve">15 days</w:t>
      </w:r>
      <w:r>
        <w:rPr>
          <w:rFonts w:ascii="Calibri" w:cs="Calibri" w:eastAsia="Calibri" w:hAnsi="Calibri"/>
        </w:rPr>
        <w:t xml:space="preserve"> with no written agreement) under the MSMED Act, 2006. A late payment has three separate consequences to track: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Section 43B(h), Income Tax:</w:t>
      </w:r>
      <w:r>
        <w:rPr>
          <w:rFonts w:ascii="Calibri" w:cs="Calibri" w:eastAsia="Calibri" w:hAnsi="Calibri"/>
        </w:rPr>
        <w:t xml:space="preserve"> unpaid, overdue bills at year end are disallowed until paid.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MSME Form 1:</w:t>
      </w:r>
      <w:r>
        <w:rPr>
          <w:rFonts w:ascii="Calibri" w:cs="Calibri" w:eastAsia="Calibri" w:hAnsi="Calibri"/>
        </w:rPr>
        <w:t xml:space="preserve"> half-yearly return of dues unpaid beyond 45 days, with reasons.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Section 16 interest:</w:t>
      </w:r>
      <w:r>
        <w:rPr>
          <w:rFonts w:ascii="Calibri" w:cs="Calibri" w:eastAsia="Calibri" w:hAnsi="Calibri"/>
        </w:rPr>
        <w:t xml:space="preserve"> compound interest, monthly rests, at 3 × RBI Bank Rate.</w:t>
      </w:r>
    </w:p>
    <w:p>
      <w:pPr>
        <w:spacing w:after="110" w:line="276"/>
      </w:pPr>
      <w:r>
        <w:rPr>
          <w:rFonts w:ascii="Calibri" w:cs="Calibri" w:eastAsia="Calibri" w:hAnsi="Calibri"/>
        </w:rPr>
        <w:t xml:space="preserve">Most teams track this by hand in Excel from ERP exports and vendor statements; it is slow, person-dependent and error-prone. </w:t>
      </w:r>
      <w:r>
        <w:rPr>
          <w:rFonts w:ascii="Calibri" w:cs="Calibri" w:eastAsia="Calibri" w:hAnsi="Calibri"/>
          <w:b/>
          <w:bCs/>
        </w:rPr>
        <w:t xml:space="preserve">This tool does it repeatably:</w:t>
      </w:r>
      <w:r>
        <w:rPr>
          <w:rFonts w:ascii="Calibri" w:cs="Calibri" w:eastAsia="Calibri" w:hAnsi="Calibri"/>
        </w:rPr>
        <w:t xml:space="preserve"> upload the data, and get due dates, exposure, the 43B(h) workings, Form 1 and the interest statement as Excel files.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Company workspaces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a company; each has its own vendor master (category, PAN, Udyam, agreed credit days). Nothing is company-specific.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Flexible input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Standard templates,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vendor statements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or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software export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(Excel / CSV / text PDF) – layout detected, rows classified as bills or payments, with a review step.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Opening balances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Bill-wise or party-wise dues already unpaid at the start of the period.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Compliance outputs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and pay-by list; Section 43B(h) workings; MSME Form 1 in the (a)–(h) layout; Section 16 interest with an editable RBI Bank Rate table (link and check button for the RBI site).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Saved runs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and reopen a run (inputs, master snapshot, Form 1 reasons) with identical results.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 output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Bold headers, Indian digit grouping (12,34,567.00) and live Total rows.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How it works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</w:rPr>
        <w:t xml:space="preserve">Workflow:</w:t>
      </w:r>
      <w:r>
        <w:rPr>
          <w:rFonts w:ascii="Calibri" w:cs="Calibri" w:eastAsia="Calibri" w:hAnsi="Calibri"/>
        </w:rPr>
        <w:t xml:space="preserve"> choose company → set up vendor master (once) → load bills and payments (templates, statements or exports; optional opening balances) → set as-of date and financial year → </w:t>
      </w:r>
      <w:r>
        <w:rPr>
          <w:rFonts w:ascii="Calibri" w:cs="Calibri" w:eastAsia="Calibri" w:hAnsi="Calibri"/>
          <w:b/>
          <w:bCs/>
        </w:rPr>
        <w:t xml:space="preserve">Run</w:t>
      </w:r>
      <w:r>
        <w:rPr>
          <w:rFonts w:ascii="Calibri" w:cs="Calibri" w:eastAsia="Calibri" w:hAnsi="Calibri"/>
        </w:rPr>
        <w:t xml:space="preserve"> → review the tabs and download Excel files.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app.py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Streamlit interface: six tabs, downloads, Indian-format display.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engine.py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Validation, due dates, payment allocation, ledger, 43B(h), Form 1, Excel export.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importer.py / import_ui.py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Reads statements and exports, detects layout, classifies rows; review screen.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interest.py · store.py · templates.py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16 interest; per-company storage and saved runs; downloadable templates.</w:t>
            </w:r>
          </w:p>
        </w:tc>
      </w:tr>
    </w:tbl>
    <w:p>
      <w:pPr>
        <w:spacing w:after="110" w:line="276"/>
        <w:rPr>
          <w:sz w:val="20"/>
          <w:szCs w:val="20"/>
        </w:rPr>
      </w:pPr>
      <w:r>
        <w:rPr>
          <w:rFonts w:ascii="Calibri" w:cs="Calibri" w:eastAsia="Calibri" w:hAnsi="Calibri"/>
          <w:sz w:val="20"/>
          <w:szCs w:val="20"/>
        </w:rPr>
        <w:t xml:space="preserve">Key rules (full list in the User Guide): due date = acceptance date + agreed days (max 45) else + 15; payments apply to the named bill, otherwise oldest-due first; interest runs from the day after the due date at 3 × the Bank Rate in force, compounded monthly.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AI tools used</w:t>
      </w:r>
    </w:p>
    <w:p>
      <w:pPr>
        <w:spacing w:after="110" w:line="276"/>
      </w:pPr>
      <w:r>
        <w:rPr>
          <w:rFonts w:ascii="Calibri" w:cs="Calibri" w:eastAsia="Calibri" w:hAnsi="Calibri"/>
        </w:rPr>
        <w:t xml:space="preserve">Built with </w:t>
      </w:r>
      <w:r>
        <w:rPr>
          <w:rFonts w:ascii="Calibri" w:cs="Calibri" w:eastAsia="Calibri" w:hAnsi="Calibri"/>
          <w:b/>
          <w:bCs/>
        </w:rPr>
        <w:t xml:space="preserve">Claude (Anthropic), Claude Sonnet 5.5, through Claude Code</w:t>
      </w:r>
      <w:r>
        <w:rPr>
          <w:rFonts w:ascii="Calibri" w:cs="Calibri" w:eastAsia="Calibri" w:hAnsi="Calibri"/>
        </w:rPr>
        <w:t xml:space="preserve">, used for scoping, writing the code and tests, and documentation. </w:t>
      </w:r>
      <w:r>
        <w:rPr>
          <w:rFonts w:ascii="Calibri" w:cs="Calibri" w:eastAsia="Calibri" w:hAnsi="Calibri"/>
          <w:b/>
          <w:bCs/>
        </w:rPr>
        <w:t xml:space="preserve">My role:</w:t>
      </w:r>
      <w:r>
        <w:rPr>
          <w:rFonts w:ascii="Calibri" w:cs="Calibri" w:eastAsia="Calibri" w:hAnsi="Calibri"/>
        </w:rPr>
        <w:t xml:space="preserve"> defining the problem from my finance and compliance experience, supplying requirements and the Form 1 layout, deciding scope at each step and reviewing every output (prompts in folder 2). </w:t>
      </w:r>
      <w:r>
        <w:rPr>
          <w:rFonts w:ascii="Calibri" w:cs="Calibri" w:eastAsia="Calibri" w:hAnsi="Calibri"/>
          <w:b/>
          <w:bCs/>
        </w:rPr>
        <w:t xml:space="preserve">No AI runs inside the app</w:t>
      </w:r>
      <w:r>
        <w:rPr>
          <w:rFonts w:ascii="Calibri" w:cs="Calibri" w:eastAsia="Calibri" w:hAnsi="Calibri"/>
        </w:rPr>
        <w:t xml:space="preserve"> – all reading, classification and calculation is rule-based Python (pandas, Streamlit, openpyxl, pdfplumber, Altair), so results are repeatable and explainable.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Testing and results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</w:rPr>
        <w:t xml:space="preserve">61 automated tests</w:t>
      </w:r>
      <w:r>
        <w:rPr>
          <w:rFonts w:ascii="Calibri" w:cs="Calibri" w:eastAsia="Calibri" w:hAnsi="Calibri"/>
        </w:rPr>
        <w:t xml:space="preserve"> pass, covering due dates, allocation, Form 1, 43B(h), interest, importer layouts, storage and Excel formatting. Interest was checked against hand calculations; Excel totals were recalculated in LibreOffice; a reopened saved run reproduces every figure. Testing also caught real defects (for example blank bill numbers read as "nan", and saved rate dates reloading day/month swapped), now fixed with regression tests.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cantSplit/>
          <w:tblHeader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Demo result (synthetic data, as at 30-09-2026)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Outstanding to Micro/Small suppliers (of which overdue)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₹39,84,800 (₹37,65,400)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43B(h) disallowance, FY 2025-26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₹22,27,600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 1 – outstanding more than 45 days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₹35,15,400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16 interest accrued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₹3,71,504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Screenshots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10000" cy="5838825"/>
            <wp:effectExtent t="0" r="0" b="0" l="0"/>
            <wp:docPr id="1" name="dash" descr="Dashboard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 – Dashboard (demo data).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467100"/>
            <wp:effectExtent t="0" r="0" b="0" l="0"/>
            <wp:docPr id="2" name="form1" descr="MSME Form 1" title="MSM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 – MSME Form 1 in the prescribed layout.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Practical applications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Finance teams:</w:t>
      </w:r>
      <w:r>
        <w:rPr>
          <w:rFonts w:ascii="Calibri" w:cs="Calibri" w:eastAsia="Calibri" w:hAnsi="Calibri"/>
        </w:rPr>
        <w:t xml:space="preserve"> see which MSE bills to pay before they cross 45 days, and what to pay before 31 March to avoid disallowance.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Statutory compliance:</w:t>
      </w:r>
      <w:r>
        <w:rPr>
          <w:rFonts w:ascii="Calibri" w:cs="Calibri" w:eastAsia="Calibri" w:hAnsi="Calibri"/>
        </w:rPr>
        <w:t xml:space="preserve"> Form 1 workbook and interest statement for the half-yearly return and tax-audit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CAs and group companies:</w:t>
      </w:r>
      <w:r>
        <w:rPr>
          <w:rFonts w:ascii="Calibri" w:cs="Calibri" w:eastAsia="Calibri" w:hAnsi="Calibri"/>
        </w:rPr>
        <w:t xml:space="preserve"> one tool for many entities, each with its own master and saved runs, reading each one's own export.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Vendor reconciliation:</w:t>
      </w:r>
      <w:r>
        <w:rPr>
          <w:rFonts w:ascii="Calibri" w:cs="Calibri" w:eastAsia="Calibri" w:hAnsi="Calibri"/>
        </w:rPr>
        <w:t xml:space="preserve"> import a vendor's statement and compare with the books.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Limitations and running the app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Unusual layouts may need correction in the review step; scanned PDFs need OCR. The importer has been tested on sample files, not yet on real statements.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Keep the RBI Bank Rate table current, and confirm the Form 1 layout against the latest official format before filing.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To run: install Python 3.10+, double-click </w:t>
      </w:r>
      <w:r>
        <w:rPr>
          <w:rFonts w:ascii="Calibri" w:cs="Calibri" w:eastAsia="Calibri" w:hAnsi="Calibri"/>
          <w:b/>
          <w:bCs/>
        </w:rPr>
        <w:t xml:space="preserve">Start_MSME_Tracker.bat</w:t>
      </w:r>
      <w:r>
        <w:rPr>
          <w:rFonts w:ascii="Calibri" w:cs="Calibri" w:eastAsia="Calibri" w:hAnsi="Calibri"/>
        </w:rPr>
        <w:t xml:space="preserve"> (details in folder 4). Supports decision-making; not legal or tax advice.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MSME Payables Compliance Tracker – Project Summary  |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dd59c3b232e51ad43296533b697135b232037c7.png"/><Relationship Id="rId9" Type="http://schemas.openxmlformats.org/officeDocument/2006/relationships/image" Target="media/80f6332adf75f0113e93205849c99d53c5badb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MSME Payables Compliance Tracker – Project Summary</dc:title>
  <dc:creator>AICA Level 2 Capstone</dc:creator>
  <cp:lastModifiedBy>Un-named</cp:lastModifiedBy>
  <cp:revision>1</cp:revision>
  <dcterms:created xsi:type="dcterms:W3CDTF">2026-10-24T15:57:44.223Z</dcterms:created>
  <dcterms:modified xsi:type="dcterms:W3CDTF">2026-10-24T15:57:44.223Z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