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Arial" w:hAnsi="Arial"/>
          <w:b/>
          <w:color w:val="203E6B"/>
          <w:sz w:val="42"/>
        </w:rPr>
        <w:t>VALUATION REPORT</w:t>
      </w:r>
    </w:p>
    <w:p/>
    <w:p>
      <w:pPr>
        <w:jc w:val="center"/>
      </w:pPr>
      <w:r>
        <w:rPr>
          <w:rFonts w:ascii="Arial" w:hAnsi="Arial"/>
          <w:b/>
          <w:color w:val="000000"/>
          <w:sz w:val="30"/>
        </w:rPr>
        <w:t>Vanraj Furniture Industries Private Limited</w:t>
      </w:r>
    </w:p>
    <w:p>
      <w:pPr>
        <w:jc w:val="center"/>
      </w:pPr>
      <w:r>
        <w:rPr>
          <w:rFonts w:ascii="Arial" w:hAnsi="Arial"/>
          <w:sz w:val="21"/>
        </w:rPr>
        <w:t>equity-issue</w:t>
      </w:r>
    </w:p>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203E6B"/>
            <w:vAlign w:val="center"/>
          </w:tcPr>
          <w:p>
            <w:pPr>
              <w:jc w:val="center"/>
            </w:pPr>
            <w:r>
              <w:rPr>
                <w:rFonts w:ascii="Arial" w:hAnsi="Arial"/>
                <w:b/>
                <w:color w:val="FFFFFF"/>
                <w:sz w:val="16"/>
              </w:rPr>
              <w:t>Particulars</w:t>
            </w:r>
          </w:p>
        </w:tc>
        <w:tc>
          <w:tcPr>
            <w:tcW w:type="dxa" w:w="5184"/>
            <w:shd w:fill="203E6B"/>
            <w:vAlign w:val="center"/>
          </w:tcPr>
          <w:p>
            <w:pPr>
              <w:jc w:val="center"/>
            </w:pPr>
            <w:r>
              <w:rPr>
                <w:rFonts w:ascii="Arial" w:hAnsi="Arial"/>
                <w:b/>
                <w:color w:val="FFFFFF"/>
                <w:sz w:val="16"/>
              </w:rPr>
              <w:t>Value / Details</w:t>
            </w:r>
          </w:p>
        </w:tc>
      </w:tr>
      <w:tr>
        <w:tc>
          <w:tcPr>
            <w:tcW w:type="dxa" w:w="5184"/>
            <w:vAlign w:val="center"/>
            <w:shd w:fill="F2F2F2"/>
          </w:tcPr>
          <w:p>
            <w:r>
              <w:rPr>
                <w:rFonts w:ascii="Arial" w:hAnsi="Arial"/>
                <w:b/>
                <w:sz w:val="16"/>
              </w:rPr>
              <w:t>Valuation Date</w:t>
            </w:r>
          </w:p>
        </w:tc>
        <w:tc>
          <w:tcPr>
            <w:tcW w:type="dxa" w:w="5184"/>
            <w:vAlign w:val="center"/>
          </w:tcPr>
          <w:p>
            <w:r>
              <w:rPr>
                <w:rFonts w:ascii="Arial" w:hAnsi="Arial"/>
                <w:sz w:val="16"/>
              </w:rPr>
              <w:t>2026-06-01</w:t>
            </w:r>
          </w:p>
        </w:tc>
      </w:tr>
      <w:tr>
        <w:tc>
          <w:tcPr>
            <w:tcW w:type="dxa" w:w="5184"/>
            <w:vAlign w:val="center"/>
            <w:shd w:fill="F2F2F2"/>
            <w:shd w:fill="F2F2F2"/>
          </w:tcPr>
          <w:p>
            <w:r>
              <w:rPr>
                <w:rFonts w:ascii="Arial" w:hAnsi="Arial"/>
                <w:b/>
                <w:sz w:val="16"/>
              </w:rPr>
              <w:t>Report Date</w:t>
            </w:r>
          </w:p>
        </w:tc>
        <w:tc>
          <w:tcPr>
            <w:tcW w:type="dxa" w:w="5184"/>
            <w:vAlign w:val="center"/>
            <w:shd w:fill="F2F2F2"/>
          </w:tcPr>
          <w:p>
            <w:r>
              <w:rPr>
                <w:rFonts w:ascii="Arial" w:hAnsi="Arial"/>
                <w:sz w:val="16"/>
              </w:rPr>
              <w:t>2026-09-03</w:t>
            </w:r>
          </w:p>
        </w:tc>
      </w:tr>
      <w:tr>
        <w:tc>
          <w:tcPr>
            <w:tcW w:type="dxa" w:w="5184"/>
            <w:vAlign w:val="center"/>
            <w:shd w:fill="F2F2F2"/>
          </w:tcPr>
          <w:p>
            <w:r>
              <w:rPr>
                <w:rFonts w:ascii="Arial" w:hAnsi="Arial"/>
                <w:b/>
                <w:sz w:val="16"/>
              </w:rPr>
              <w:t>Security / Subject Interest</w:t>
            </w:r>
          </w:p>
        </w:tc>
        <w:tc>
          <w:tcPr>
            <w:tcW w:type="dxa" w:w="5184"/>
            <w:vAlign w:val="center"/>
          </w:tcPr>
          <w:p>
            <w:r>
              <w:rPr>
                <w:rFonts w:ascii="Arial" w:hAnsi="Arial"/>
                <w:sz w:val="16"/>
              </w:rPr>
              <w:t>equity</w:t>
            </w:r>
          </w:p>
        </w:tc>
      </w:tr>
      <w:tr>
        <w:tc>
          <w:tcPr>
            <w:tcW w:type="dxa" w:w="5184"/>
            <w:vAlign w:val="center"/>
            <w:shd w:fill="F2F2F2"/>
            <w:shd w:fill="F2F2F2"/>
          </w:tcPr>
          <w:p>
            <w:r>
              <w:rPr>
                <w:rFonts w:ascii="Arial" w:hAnsi="Arial"/>
                <w:b/>
                <w:sz w:val="16"/>
              </w:rPr>
              <w:t>Applicable Provision</w:t>
            </w:r>
          </w:p>
        </w:tc>
        <w:tc>
          <w:tcPr>
            <w:tcW w:type="dxa" w:w="5184"/>
            <w:vAlign w:val="center"/>
            <w:shd w:fill="F2F2F2"/>
          </w:tcPr>
          <w:p>
            <w:r>
              <w:rPr>
                <w:rFonts w:ascii="Arial" w:hAnsi="Arial"/>
                <w:sz w:val="16"/>
              </w:rPr>
              <w:t>companies-act</w:t>
            </w:r>
          </w:p>
        </w:tc>
      </w:tr>
      <w:tr>
        <w:tc>
          <w:tcPr>
            <w:tcW w:type="dxa" w:w="5184"/>
            <w:vAlign w:val="center"/>
            <w:shd w:fill="F2F2F2"/>
          </w:tcPr>
          <w:p>
            <w:r>
              <w:rPr>
                <w:rFonts w:ascii="Arial" w:hAnsi="Arial"/>
                <w:b/>
                <w:sz w:val="16"/>
              </w:rPr>
              <w:t>System Status</w:t>
            </w:r>
          </w:p>
        </w:tc>
        <w:tc>
          <w:tcPr>
            <w:tcW w:type="dxa" w:w="5184"/>
            <w:vAlign w:val="center"/>
          </w:tcPr>
          <w:p>
            <w:r>
              <w:rPr>
                <w:rFonts w:ascii="Arial" w:hAnsi="Arial"/>
                <w:sz w:val="16"/>
              </w:rPr>
              <w:t>DRAFT_ONLY_REVIEW_PENDING</w:t>
            </w:r>
          </w:p>
        </w:tc>
      </w:tr>
    </w:tbl>
    <w:p/>
    <w:p>
      <w:pPr>
        <w:jc w:val="center"/>
      </w:pPr>
      <w:r>
        <w:rPr>
          <w:b/>
          <w:color w:val="203E6B"/>
        </w:rPr>
        <w:t>STRICTLY PRIVATE AND CONFIDENTIAL</w:t>
      </w:r>
    </w:p>
    <w:p>
      <w:pPr>
        <w:pStyle w:val="ReportNote"/>
      </w:pPr>
      <w:r>
        <w:t>Prepared solely for the stated purpose. This system-generated report is a draft and must be reviewed, modified as necessary and approved by the Registered Valuer before issuance.</w:t>
      </w:r>
    </w:p>
    <w:p>
      <w:r>
        <w:br w:type="page"/>
      </w:r>
    </w:p>
    <w:p>
      <w:pPr>
        <w:pStyle w:val="Heading1"/>
      </w:pPr>
      <w:r>
        <w:t>Contents</w:t>
      </w:r>
    </w:p>
    <w:p>
      <w:r>
        <w:t>1. Executive Summary</w:t>
      </w:r>
    </w:p>
    <w:p>
      <w:r>
        <w:t>2. Purpose and Scope of the Assignment</w:t>
      </w:r>
    </w:p>
    <w:p>
      <w:r>
        <w:t>3. Sources of Information</w:t>
      </w:r>
    </w:p>
    <w:p>
      <w:r>
        <w:t>4. Background of the Company</w:t>
      </w:r>
    </w:p>
    <w:p>
      <w:r>
        <w:t>5. Regulatory Framework and Basis of Valuation</w:t>
      </w:r>
    </w:p>
    <w:p>
      <w:r>
        <w:t>6. Valuation Approaches and Methodology</w:t>
      </w:r>
    </w:p>
    <w:p>
      <w:r>
        <w:t>7. Key Assumptions and Rationale</w:t>
      </w:r>
    </w:p>
    <w:p>
      <w:r>
        <w:t>8. Valuation Summary, Weightage and Recommended Fair Value</w:t>
      </w:r>
    </w:p>
    <w:p>
      <w:r>
        <w:t>9. Limiting Conditions and Disclaimer</w:t>
      </w:r>
    </w:p>
    <w:p>
      <w:r>
        <w:t>10. Valuer Review / Declaration</w:t>
      </w:r>
    </w:p>
    <w:p>
      <w:r>
        <w:t>ANNEXURE A - Income Approach - Discounted Cash Flow Working</w:t>
      </w:r>
    </w:p>
    <w:p>
      <w:r>
        <w:t>ANNEXURE B - Asset Approach - Net Asset Value Working</w:t>
      </w:r>
    </w:p>
    <w:p>
      <w:r>
        <w:t>ANNEXURE C - Weighted Average Cost of Capital Working</w:t>
      </w:r>
    </w:p>
    <w:p>
      <w:r>
        <w:t>ANNEXURE D - Historical and Projected Financial Statements</w:t>
      </w:r>
    </w:p>
    <w:p>
      <w:r>
        <w:t>ANNEXURE E - Summary of Key Assumptions and Review Items</w:t>
      </w:r>
    </w:p>
    <w:p>
      <w:r>
        <w:br w:type="page"/>
      </w:r>
    </w:p>
    <w:p>
      <w:pPr>
        <w:pStyle w:val="Heading1"/>
      </w:pPr>
      <w:r>
        <w:t>1. Executive Summary</w:t>
      </w:r>
    </w:p>
    <w:p>
      <w:r>
        <w:t>This draft report sets out the valuation analysis of Vanraj Furniture Industries Private Limited as at 2026-06-01 ('the Valuation Date') for the purpose stated in Section 2 below. The valuation conclusion has been derived using the valuation methods selected in the application and is subject to the assumptions, qualifications, source data and limiting conditions set out in this Report and its Annexures.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203E6B"/>
            <w:vAlign w:val="center"/>
          </w:tcPr>
          <w:p>
            <w:pPr>
              <w:jc w:val="center"/>
            </w:pPr>
            <w:r>
              <w:rPr>
                <w:rFonts w:ascii="Arial" w:hAnsi="Arial"/>
                <w:b/>
                <w:color w:val="FFFFFF"/>
                <w:sz w:val="16"/>
              </w:rPr>
              <w:t>Particulars</w:t>
            </w:r>
          </w:p>
        </w:tc>
        <w:tc>
          <w:tcPr>
            <w:tcW w:type="dxa" w:w="5184"/>
            <w:shd w:fill="203E6B"/>
            <w:vAlign w:val="center"/>
          </w:tcPr>
          <w:p>
            <w:pPr>
              <w:jc w:val="center"/>
            </w:pPr>
            <w:r>
              <w:rPr>
                <w:rFonts w:ascii="Arial" w:hAnsi="Arial"/>
                <w:b/>
                <w:color w:val="FFFFFF"/>
                <w:sz w:val="16"/>
              </w:rPr>
              <w:t>Value / Details</w:t>
            </w:r>
          </w:p>
        </w:tc>
      </w:tr>
      <w:tr>
        <w:tc>
          <w:tcPr>
            <w:tcW w:type="dxa" w:w="5184"/>
            <w:vAlign w:val="center"/>
            <w:shd w:fill="F2F2F2"/>
          </w:tcPr>
          <w:p>
            <w:r>
              <w:rPr>
                <w:rFonts w:ascii="Arial" w:hAnsi="Arial"/>
                <w:b/>
                <w:sz w:val="16"/>
              </w:rPr>
              <w:t>DCF Equity Value (Rs. Lakhs)</w:t>
            </w:r>
          </w:p>
        </w:tc>
        <w:tc>
          <w:tcPr>
            <w:tcW w:type="dxa" w:w="5184"/>
            <w:vAlign w:val="center"/>
          </w:tcPr>
          <w:p>
            <w:r>
              <w:rPr>
                <w:rFonts w:ascii="Arial" w:hAnsi="Arial"/>
                <w:sz w:val="16"/>
              </w:rPr>
              <w:t>11,929.55</w:t>
            </w:r>
          </w:p>
        </w:tc>
      </w:tr>
      <w:tr>
        <w:tc>
          <w:tcPr>
            <w:tcW w:type="dxa" w:w="5184"/>
            <w:vAlign w:val="center"/>
            <w:shd w:fill="F2F2F2"/>
            <w:shd w:fill="F2F2F2"/>
          </w:tcPr>
          <w:p>
            <w:r>
              <w:rPr>
                <w:rFonts w:ascii="Arial" w:hAnsi="Arial"/>
                <w:b/>
                <w:sz w:val="16"/>
              </w:rPr>
              <w:t>DCF Value per Equity Share (Rs.)</w:t>
            </w:r>
          </w:p>
        </w:tc>
        <w:tc>
          <w:tcPr>
            <w:tcW w:type="dxa" w:w="5184"/>
            <w:vAlign w:val="center"/>
            <w:shd w:fill="F2F2F2"/>
          </w:tcPr>
          <w:p>
            <w:r>
              <w:rPr>
                <w:rFonts w:ascii="Arial" w:hAnsi="Arial"/>
                <w:sz w:val="16"/>
              </w:rPr>
              <w:t>193.98</w:t>
            </w:r>
          </w:p>
        </w:tc>
      </w:tr>
      <w:tr>
        <w:tc>
          <w:tcPr>
            <w:tcW w:type="dxa" w:w="5184"/>
            <w:vAlign w:val="center"/>
            <w:shd w:fill="F2F2F2"/>
          </w:tcPr>
          <w:p>
            <w:r>
              <w:rPr>
                <w:rFonts w:ascii="Arial" w:hAnsi="Arial"/>
                <w:b/>
                <w:sz w:val="16"/>
              </w:rPr>
              <w:t>NAV Equity Value (Rs. Lakhs)</w:t>
            </w:r>
          </w:p>
        </w:tc>
        <w:tc>
          <w:tcPr>
            <w:tcW w:type="dxa" w:w="5184"/>
            <w:vAlign w:val="center"/>
          </w:tcPr>
          <w:p>
            <w:r>
              <w:rPr>
                <w:rFonts w:ascii="Arial" w:hAnsi="Arial"/>
                <w:sz w:val="16"/>
              </w:rPr>
              <w:t>4,538.00</w:t>
            </w:r>
          </w:p>
        </w:tc>
      </w:tr>
      <w:tr>
        <w:tc>
          <w:tcPr>
            <w:tcW w:type="dxa" w:w="5184"/>
            <w:vAlign w:val="center"/>
            <w:shd w:fill="F2F2F2"/>
            <w:shd w:fill="F2F2F2"/>
          </w:tcPr>
          <w:p>
            <w:r>
              <w:rPr>
                <w:rFonts w:ascii="Arial" w:hAnsi="Arial"/>
                <w:b/>
                <w:sz w:val="16"/>
              </w:rPr>
              <w:t>NAV Value per Equity Share (Rs.)</w:t>
            </w:r>
          </w:p>
        </w:tc>
        <w:tc>
          <w:tcPr>
            <w:tcW w:type="dxa" w:w="5184"/>
            <w:vAlign w:val="center"/>
            <w:shd w:fill="F2F2F2"/>
          </w:tcPr>
          <w:p>
            <w:r>
              <w:rPr>
                <w:rFonts w:ascii="Arial" w:hAnsi="Arial"/>
                <w:sz w:val="16"/>
              </w:rPr>
              <w:t>73.79</w:t>
            </w:r>
          </w:p>
        </w:tc>
      </w:tr>
      <w:tr>
        <w:tc>
          <w:tcPr>
            <w:tcW w:type="dxa" w:w="5184"/>
            <w:vAlign w:val="center"/>
            <w:shd w:fill="F2F2F2"/>
          </w:tcPr>
          <w:p>
            <w:r>
              <w:rPr>
                <w:rFonts w:ascii="Arial" w:hAnsi="Arial"/>
                <w:b/>
                <w:sz w:val="16"/>
              </w:rPr>
              <w:t>Concluded Equity Value (Rs. Lakhs)</w:t>
            </w:r>
          </w:p>
        </w:tc>
        <w:tc>
          <w:tcPr>
            <w:tcW w:type="dxa" w:w="5184"/>
            <w:vAlign w:val="center"/>
          </w:tcPr>
          <w:p>
            <w:r>
              <w:rPr>
                <w:rFonts w:ascii="Arial" w:hAnsi="Arial"/>
                <w:sz w:val="16"/>
              </w:rPr>
              <w:t>8,233.77</w:t>
            </w:r>
          </w:p>
        </w:tc>
      </w:tr>
      <w:tr>
        <w:tc>
          <w:tcPr>
            <w:tcW w:type="dxa" w:w="5184"/>
            <w:vAlign w:val="center"/>
            <w:shd w:fill="F2F2F2"/>
            <w:shd w:fill="F2F2F2"/>
          </w:tcPr>
          <w:p>
            <w:r>
              <w:rPr>
                <w:rFonts w:ascii="Arial" w:hAnsi="Arial"/>
                <w:b/>
                <w:sz w:val="16"/>
              </w:rPr>
              <w:t>Recommended Fair Value per Equity Share (Rs.)</w:t>
            </w:r>
          </w:p>
        </w:tc>
        <w:tc>
          <w:tcPr>
            <w:tcW w:type="dxa" w:w="5184"/>
            <w:vAlign w:val="center"/>
            <w:shd w:fill="F2F2F2"/>
          </w:tcPr>
          <w:p>
            <w:r>
              <w:rPr>
                <w:rFonts w:ascii="Arial" w:hAnsi="Arial"/>
                <w:sz w:val="16"/>
              </w:rPr>
              <w:t>133.88</w:t>
            </w:r>
          </w:p>
        </w:tc>
      </w:tr>
      <w:tr>
        <w:tc>
          <w:tcPr>
            <w:tcW w:type="dxa" w:w="5184"/>
            <w:vAlign w:val="center"/>
            <w:shd w:fill="F2F2F2"/>
          </w:tcPr>
          <w:p>
            <w:r>
              <w:rPr>
                <w:rFonts w:ascii="Arial" w:hAnsi="Arial"/>
                <w:b/>
                <w:sz w:val="16"/>
              </w:rPr>
              <w:t>Fully Diluted Equity Shares</w:t>
            </w:r>
          </w:p>
        </w:tc>
        <w:tc>
          <w:tcPr>
            <w:tcW w:type="dxa" w:w="5184"/>
            <w:vAlign w:val="center"/>
          </w:tcPr>
          <w:p>
            <w:r>
              <w:rPr>
                <w:rFonts w:ascii="Arial" w:hAnsi="Arial"/>
                <w:sz w:val="16"/>
              </w:rPr>
              <w:t>6,150,000</w:t>
            </w:r>
          </w:p>
        </w:tc>
      </w:tr>
    </w:tbl>
    <w:p>
      <w:r>
        <w:t>This Executive Summary must be read together with the whole of this Report, including the detailed workings and assumptions in the Annexures.</w:t>
      </w:r>
    </w:p>
    <w:p>
      <w:pPr>
        <w:pStyle w:val="Heading1"/>
      </w:pPr>
      <w:r>
        <w:t>2. Purpose and Scope of the Assignment</w:t>
      </w:r>
    </w:p>
    <w:p>
      <w:pPr>
        <w:pStyle w:val="Heading2"/>
      </w:pPr>
      <w:r>
        <w:t>2.1 Purpose of Valuation</w:t>
      </w:r>
    </w:p>
    <w:p>
      <w:r>
        <w:t>equity-issue</w:t>
      </w:r>
    </w:p>
    <w:p>
      <w:pPr>
        <w:pStyle w:val="Heading2"/>
      </w:pPr>
      <w:r>
        <w:t>2.2 Transaction Background</w:t>
      </w:r>
    </w:p>
    <w:p>
      <w:r>
        <w:t>Valuation for issue of shares</w:t>
      </w:r>
    </w:p>
    <w:p>
      <w:pPr>
        <w:pStyle w:val="Heading2"/>
      </w:pPr>
      <w:r>
        <w:t>2.3 Basis and Standard of Value</w:t>
      </w:r>
    </w:p>
    <w:p>
      <w:r>
        <w:t>The valuation has been prepared on the basis recorded in the engagement and subject to the applicable valuation standards and regulatory requirements. The final signed report should expressly state the adopted basis of value and premise of value after Registered Valuer review.</w:t>
      </w:r>
    </w:p>
    <w:p>
      <w:pPr>
        <w:pStyle w:val="Heading1"/>
      </w:pPr>
      <w:r>
        <w:t>3. Sources of Information</w:t>
      </w:r>
    </w:p>
    <w:p>
      <w:pPr>
        <w:pStyle w:val="ListBullet"/>
      </w:pPr>
      <w:r>
        <w:t>Provisional financial statements as at the Valuation Date.</w:t>
      </w:r>
    </w:p>
    <w:p>
      <w:pPr>
        <w:pStyle w:val="ListBullet"/>
      </w:pPr>
      <w:r>
        <w:t>Historical audited financial statements made available for the assignment.</w:t>
      </w:r>
    </w:p>
    <w:p>
      <w:pPr>
        <w:pStyle w:val="ListBullet"/>
      </w:pPr>
      <w:r>
        <w:t>Projected financial statements / business plan.</w:t>
      </w:r>
    </w:p>
    <w:p>
      <w:pPr>
        <w:pStyle w:val="ListBullet"/>
      </w:pPr>
      <w:r>
        <w:t>Capital structure and fully diluted shareholding information.</w:t>
      </w:r>
    </w:p>
    <w:p>
      <w:pPr>
        <w:pStyle w:val="ListBullet"/>
      </w:pPr>
      <w:r>
        <w:t>Management explanations and transaction information.</w:t>
      </w:r>
    </w:p>
    <w:p>
      <w:pPr>
        <w:pStyle w:val="ListBullet"/>
      </w:pPr>
      <w:r>
        <w:t>Market / WACC data recorded in the valuation working.</w:t>
      </w:r>
    </w:p>
    <w:p>
      <w:r>
        <w:t>The information referred to above has been relied upon without independent audit or verification unless expressly stated otherwise in the final report.</w:t>
      </w:r>
    </w:p>
    <w:p>
      <w:pPr>
        <w:pStyle w:val="Heading1"/>
      </w:pPr>
      <w:r>
        <w:t>4. Background of the Company</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203E6B"/>
            <w:vAlign w:val="center"/>
          </w:tcPr>
          <w:p>
            <w:pPr>
              <w:jc w:val="center"/>
            </w:pPr>
            <w:r>
              <w:rPr>
                <w:rFonts w:ascii="Arial" w:hAnsi="Arial"/>
                <w:b/>
                <w:color w:val="FFFFFF"/>
                <w:sz w:val="16"/>
              </w:rPr>
              <w:t>Particulars</w:t>
            </w:r>
          </w:p>
        </w:tc>
        <w:tc>
          <w:tcPr>
            <w:tcW w:type="dxa" w:w="5184"/>
            <w:shd w:fill="203E6B"/>
            <w:vAlign w:val="center"/>
          </w:tcPr>
          <w:p>
            <w:pPr>
              <w:jc w:val="center"/>
            </w:pPr>
            <w:r>
              <w:rPr>
                <w:rFonts w:ascii="Arial" w:hAnsi="Arial"/>
                <w:b/>
                <w:color w:val="FFFFFF"/>
                <w:sz w:val="16"/>
              </w:rPr>
              <w:t>Value / Details</w:t>
            </w:r>
          </w:p>
        </w:tc>
      </w:tr>
      <w:tr>
        <w:tc>
          <w:tcPr>
            <w:tcW w:type="dxa" w:w="5184"/>
            <w:vAlign w:val="center"/>
            <w:shd w:fill="F2F2F2"/>
          </w:tcPr>
          <w:p>
            <w:r>
              <w:rPr>
                <w:rFonts w:ascii="Arial" w:hAnsi="Arial"/>
                <w:b/>
                <w:sz w:val="16"/>
              </w:rPr>
              <w:t>Name of the Company</w:t>
            </w:r>
          </w:p>
        </w:tc>
        <w:tc>
          <w:tcPr>
            <w:tcW w:type="dxa" w:w="5184"/>
            <w:vAlign w:val="center"/>
          </w:tcPr>
          <w:p>
            <w:r>
              <w:rPr>
                <w:rFonts w:ascii="Arial" w:hAnsi="Arial"/>
                <w:sz w:val="16"/>
              </w:rPr>
              <w:t>Vanraj Furniture Industries Private Limited</w:t>
            </w:r>
          </w:p>
        </w:tc>
      </w:tr>
      <w:tr>
        <w:tc>
          <w:tcPr>
            <w:tcW w:type="dxa" w:w="5184"/>
            <w:vAlign w:val="center"/>
            <w:shd w:fill="F2F2F2"/>
            <w:shd w:fill="F2F2F2"/>
          </w:tcPr>
          <w:p>
            <w:r>
              <w:rPr>
                <w:rFonts w:ascii="Arial" w:hAnsi="Arial"/>
                <w:b/>
                <w:sz w:val="16"/>
              </w:rPr>
              <w:t>CIN</w:t>
            </w:r>
          </w:p>
        </w:tc>
        <w:tc>
          <w:tcPr>
            <w:tcW w:type="dxa" w:w="5184"/>
            <w:vAlign w:val="center"/>
            <w:shd w:fill="F2F2F2"/>
          </w:tcPr>
          <w:p>
            <w:r>
              <w:rPr>
                <w:rFonts w:ascii="Arial" w:hAnsi="Arial"/>
                <w:sz w:val="16"/>
              </w:rPr>
              <w:t>U36101MH2009PTC194327</w:t>
            </w:r>
          </w:p>
        </w:tc>
      </w:tr>
      <w:tr>
        <w:tc>
          <w:tcPr>
            <w:tcW w:type="dxa" w:w="5184"/>
            <w:vAlign w:val="center"/>
            <w:shd w:fill="F2F2F2"/>
          </w:tcPr>
          <w:p>
            <w:r>
              <w:rPr>
                <w:rFonts w:ascii="Arial" w:hAnsi="Arial"/>
                <w:b/>
                <w:sz w:val="16"/>
              </w:rPr>
              <w:t>PAN</w:t>
            </w:r>
          </w:p>
        </w:tc>
        <w:tc>
          <w:tcPr>
            <w:tcW w:type="dxa" w:w="5184"/>
            <w:vAlign w:val="center"/>
          </w:tcPr>
          <w:p>
            <w:r>
              <w:rPr>
                <w:rFonts w:ascii="Arial" w:hAnsi="Arial"/>
                <w:sz w:val="16"/>
              </w:rPr>
              <w:t>AMNPG1132E</w:t>
            </w:r>
          </w:p>
        </w:tc>
      </w:tr>
      <w:tr>
        <w:tc>
          <w:tcPr>
            <w:tcW w:type="dxa" w:w="5184"/>
            <w:vAlign w:val="center"/>
            <w:shd w:fill="F2F2F2"/>
            <w:shd w:fill="F2F2F2"/>
          </w:tcPr>
          <w:p>
            <w:r>
              <w:rPr>
                <w:rFonts w:ascii="Arial" w:hAnsi="Arial"/>
                <w:b/>
                <w:sz w:val="16"/>
              </w:rPr>
              <w:t>Security / Subject Interest</w:t>
            </w:r>
          </w:p>
        </w:tc>
        <w:tc>
          <w:tcPr>
            <w:tcW w:type="dxa" w:w="5184"/>
            <w:vAlign w:val="center"/>
            <w:shd w:fill="F2F2F2"/>
          </w:tcPr>
          <w:p>
            <w:r>
              <w:rPr>
                <w:rFonts w:ascii="Arial" w:hAnsi="Arial"/>
                <w:sz w:val="16"/>
              </w:rPr>
              <w:t>equity</w:t>
            </w:r>
          </w:p>
        </w:tc>
      </w:tr>
      <w:tr>
        <w:tc>
          <w:tcPr>
            <w:tcW w:type="dxa" w:w="5184"/>
            <w:vAlign w:val="center"/>
            <w:shd w:fill="F2F2F2"/>
          </w:tcPr>
          <w:p>
            <w:r>
              <w:rPr>
                <w:rFonts w:ascii="Arial" w:hAnsi="Arial"/>
                <w:b/>
                <w:sz w:val="16"/>
              </w:rPr>
              <w:t>Valuation Date</w:t>
            </w:r>
          </w:p>
        </w:tc>
        <w:tc>
          <w:tcPr>
            <w:tcW w:type="dxa" w:w="5184"/>
            <w:vAlign w:val="center"/>
          </w:tcPr>
          <w:p>
            <w:r>
              <w:rPr>
                <w:rFonts w:ascii="Arial" w:hAnsi="Arial"/>
                <w:sz w:val="16"/>
              </w:rPr>
              <w:t>2026-06-01</w:t>
            </w:r>
          </w:p>
        </w:tc>
      </w:tr>
    </w:tbl>
    <w:p>
      <w:r>
        <w:t>The detailed corporate background, nature of business, history, operations and recent corporate actions should be completed from the company profile and engagement documents before final issuance. The system does not invent information that has not been supplied or extracted.</w:t>
      </w:r>
    </w:p>
    <w:p>
      <w:pPr>
        <w:pStyle w:val="Heading1"/>
      </w:pPr>
      <w:r>
        <w:t>5. Regulatory Framework and Basis of Valuation</w:t>
      </w:r>
    </w:p>
    <w:p>
      <w:pPr>
        <w:pStyle w:val="Heading2"/>
      </w:pPr>
      <w:r>
        <w:t>5.1 Applicable Provision</w:t>
      </w:r>
    </w:p>
    <w:p>
      <w:r>
        <w:t>companies-act</w:t>
      </w:r>
    </w:p>
    <w:p>
      <w:pPr>
        <w:pStyle w:val="Heading2"/>
      </w:pPr>
      <w:r>
        <w:t>5.2 Valuation Standards</w:t>
      </w:r>
    </w:p>
    <w:p>
      <w:r>
        <w:t>The final report should identify the valuation standards and statutory / regulatory provisions applicable to the actual purpose of valuation. The methodology in this draft has been structured around generally recognised Income and Asset approaches.</w:t>
      </w:r>
    </w:p>
    <w:p>
      <w:pPr>
        <w:pStyle w:val="Heading1"/>
      </w:pPr>
      <w:r>
        <w:t>6. Valuation Approaches and Methodology</w:t>
      </w:r>
    </w:p>
    <w:p>
      <w:pPr>
        <w:pStyle w:val="Heading2"/>
      </w:pPr>
      <w:r>
        <w:t>6.1 Income Approach - Discounted Cash Flow Method</w:t>
      </w:r>
    </w:p>
    <w:p>
      <w:r>
        <w:t>Under the Discounted Cash Flow ('DCF') Method, the enterprise value is estimated as the present value of projected Free Cash Flow to Firm ('FCFF') discounted at the Weighted Average Cost of Capital ('WACC'), together with the present value of a terminal value representing cash flows beyond the explicit forecast period.</w:t>
      </w:r>
    </w:p>
    <w:p>
      <w:pPr>
        <w:pStyle w:val="Heading2"/>
      </w:pPr>
      <w:r>
        <w:t>6.2 Asset Approach - Net Asset Value Method</w:t>
      </w:r>
    </w:p>
    <w:p>
      <w:r>
        <w:t>Under the Net Asset Value ('NAV') Method, the equity value is determined by reference to the adjusted value of assets less adjusted liabilities. The figures automatically populated by the system are starting values and require review for fair-value and off-balance-sheet adjustments.</w:t>
      </w:r>
    </w:p>
    <w:p>
      <w:pPr>
        <w:pStyle w:val="Heading1"/>
      </w:pPr>
      <w:r>
        <w:t>7. Key Assumptions and Rationale</w:t>
      </w:r>
    </w:p>
    <w:p>
      <w:pPr>
        <w:pStyle w:val="ListBullet"/>
      </w:pPr>
      <w:r>
        <w:t>The valuation date is 2026-06-01.</w:t>
      </w:r>
    </w:p>
    <w:p>
      <w:pPr>
        <w:pStyle w:val="ListBullet"/>
      </w:pPr>
      <w:r>
        <w:t>The WACC used in the DCF is 15.00%.</w:t>
      </w:r>
    </w:p>
    <w:p>
      <w:pPr>
        <w:pStyle w:val="ListBullet"/>
      </w:pPr>
      <w:r>
        <w:t>The terminal growth rate is 5.00%.</w:t>
      </w:r>
    </w:p>
    <w:p>
      <w:pPr>
        <w:pStyle w:val="ListBullet"/>
      </w:pPr>
      <w:r>
        <w:t>The tax rate applied in the DCF is 25.00%.</w:t>
      </w:r>
    </w:p>
    <w:p>
      <w:pPr>
        <w:pStyle w:val="ListBullet"/>
      </w:pPr>
      <w:r>
        <w:t>Fully diluted equity shares considered are 6,150,000.</w:t>
      </w:r>
    </w:p>
    <w:p>
      <w:pPr>
        <w:pStyle w:val="ListBullet"/>
      </w:pPr>
      <w:r>
        <w:t>Financial projections have been relied upon as management estimates and remain subject to uncertainty.</w:t>
      </w:r>
    </w:p>
    <w:p>
      <w:pPr>
        <w:pStyle w:val="ListBullet"/>
      </w:pPr>
      <w:r>
        <w:t>Extracted / automatically mapped information remains subject to Registered Valuer review.</w:t>
      </w:r>
    </w:p>
    <w:p>
      <w:pPr>
        <w:pStyle w:val="Heading1"/>
      </w:pPr>
      <w:r>
        <w:t>8. Valuation Summary, Weightage and Recommended Fair Value</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203E6B"/>
            <w:vAlign w:val="center"/>
          </w:tcPr>
          <w:p>
            <w:pPr>
              <w:jc w:val="center"/>
            </w:pPr>
            <w:r>
              <w:rPr>
                <w:rFonts w:ascii="Arial" w:hAnsi="Arial"/>
                <w:b/>
                <w:color w:val="FFFFFF"/>
                <w:sz w:val="16"/>
              </w:rPr>
              <w:t>Method</w:t>
            </w:r>
          </w:p>
        </w:tc>
        <w:tc>
          <w:tcPr>
            <w:tcW w:type="dxa" w:w="2074"/>
            <w:shd w:fill="203E6B"/>
            <w:vAlign w:val="center"/>
          </w:tcPr>
          <w:p>
            <w:pPr>
              <w:jc w:val="center"/>
            </w:pPr>
            <w:r>
              <w:rPr>
                <w:rFonts w:ascii="Arial" w:hAnsi="Arial"/>
                <w:b/>
                <w:color w:val="FFFFFF"/>
                <w:sz w:val="16"/>
              </w:rPr>
              <w:t>Approach</w:t>
            </w:r>
          </w:p>
        </w:tc>
        <w:tc>
          <w:tcPr>
            <w:tcW w:type="dxa" w:w="2074"/>
            <w:shd w:fill="203E6B"/>
            <w:vAlign w:val="center"/>
          </w:tcPr>
          <w:p>
            <w:pPr>
              <w:jc w:val="center"/>
            </w:pPr>
            <w:r>
              <w:rPr>
                <w:rFonts w:ascii="Arial" w:hAnsi="Arial"/>
                <w:b/>
                <w:color w:val="FFFFFF"/>
                <w:sz w:val="16"/>
              </w:rPr>
              <w:t>Indicated Value per Share (Rs.)</w:t>
            </w:r>
          </w:p>
        </w:tc>
        <w:tc>
          <w:tcPr>
            <w:tcW w:type="dxa" w:w="2074"/>
            <w:shd w:fill="203E6B"/>
            <w:vAlign w:val="center"/>
          </w:tcPr>
          <w:p>
            <w:pPr>
              <w:jc w:val="center"/>
            </w:pPr>
            <w:r>
              <w:rPr>
                <w:rFonts w:ascii="Arial" w:hAnsi="Arial"/>
                <w:b/>
                <w:color w:val="FFFFFF"/>
                <w:sz w:val="16"/>
              </w:rPr>
              <w:t>Weight Assigned</w:t>
            </w:r>
          </w:p>
        </w:tc>
        <w:tc>
          <w:tcPr>
            <w:tcW w:type="dxa" w:w="2074"/>
            <w:shd w:fill="203E6B"/>
            <w:vAlign w:val="center"/>
          </w:tcPr>
          <w:p>
            <w:pPr>
              <w:jc w:val="center"/>
            </w:pPr>
            <w:r>
              <w:rPr>
                <w:rFonts w:ascii="Arial" w:hAnsi="Arial"/>
                <w:b/>
                <w:color w:val="FFFFFF"/>
                <w:sz w:val="16"/>
              </w:rPr>
              <w:t>Weighted Value (Rs.)</w:t>
            </w:r>
          </w:p>
        </w:tc>
      </w:tr>
      <w:tr>
        <w:tc>
          <w:tcPr>
            <w:tcW w:type="dxa" w:w="2074"/>
            <w:vAlign w:val="center"/>
          </w:tcPr>
          <w:p>
            <w:r>
              <w:rPr>
                <w:rFonts w:ascii="Arial" w:hAnsi="Arial"/>
                <w:sz w:val="16"/>
              </w:rPr>
              <w:t>DCF</w:t>
            </w:r>
          </w:p>
        </w:tc>
        <w:tc>
          <w:tcPr>
            <w:tcW w:type="dxa" w:w="2074"/>
            <w:vAlign w:val="center"/>
          </w:tcPr>
          <w:p>
            <w:r>
              <w:rPr>
                <w:rFonts w:ascii="Arial" w:hAnsi="Arial"/>
                <w:sz w:val="16"/>
              </w:rPr>
              <w:t>Income Approach</w:t>
            </w:r>
          </w:p>
        </w:tc>
        <w:tc>
          <w:tcPr>
            <w:tcW w:type="dxa" w:w="2074"/>
            <w:vAlign w:val="center"/>
          </w:tcPr>
          <w:p>
            <w:r>
              <w:rPr>
                <w:rFonts w:ascii="Arial" w:hAnsi="Arial"/>
                <w:sz w:val="16"/>
              </w:rPr>
              <w:t>193.98</w:t>
            </w:r>
          </w:p>
        </w:tc>
        <w:tc>
          <w:tcPr>
            <w:tcW w:type="dxa" w:w="2074"/>
            <w:vAlign w:val="center"/>
          </w:tcPr>
          <w:p>
            <w:r>
              <w:rPr>
                <w:rFonts w:ascii="Arial" w:hAnsi="Arial"/>
                <w:sz w:val="16"/>
              </w:rPr>
              <w:t>50.00%</w:t>
            </w:r>
          </w:p>
        </w:tc>
        <w:tc>
          <w:tcPr>
            <w:tcW w:type="dxa" w:w="2074"/>
            <w:vAlign w:val="center"/>
          </w:tcPr>
          <w:p>
            <w:r>
              <w:rPr>
                <w:rFonts w:ascii="Arial" w:hAnsi="Arial"/>
                <w:sz w:val="16"/>
              </w:rPr>
              <w:t>96.99</w:t>
            </w:r>
          </w:p>
        </w:tc>
      </w:tr>
      <w:tr>
        <w:tc>
          <w:tcPr>
            <w:tcW w:type="dxa" w:w="2074"/>
            <w:vAlign w:val="center"/>
            <w:shd w:fill="F2F2F2"/>
          </w:tcPr>
          <w:p>
            <w:r>
              <w:rPr>
                <w:rFonts w:ascii="Arial" w:hAnsi="Arial"/>
                <w:sz w:val="16"/>
              </w:rPr>
              <w:t>NAV</w:t>
            </w:r>
          </w:p>
        </w:tc>
        <w:tc>
          <w:tcPr>
            <w:tcW w:type="dxa" w:w="2074"/>
            <w:vAlign w:val="center"/>
            <w:shd w:fill="F2F2F2"/>
          </w:tcPr>
          <w:p>
            <w:r>
              <w:rPr>
                <w:rFonts w:ascii="Arial" w:hAnsi="Arial"/>
                <w:sz w:val="16"/>
              </w:rPr>
              <w:t>Asset Approach</w:t>
            </w:r>
          </w:p>
        </w:tc>
        <w:tc>
          <w:tcPr>
            <w:tcW w:type="dxa" w:w="2074"/>
            <w:vAlign w:val="center"/>
            <w:shd w:fill="F2F2F2"/>
          </w:tcPr>
          <w:p>
            <w:r>
              <w:rPr>
                <w:rFonts w:ascii="Arial" w:hAnsi="Arial"/>
                <w:sz w:val="16"/>
              </w:rPr>
              <w:t>73.79</w:t>
            </w:r>
          </w:p>
        </w:tc>
        <w:tc>
          <w:tcPr>
            <w:tcW w:type="dxa" w:w="2074"/>
            <w:vAlign w:val="center"/>
            <w:shd w:fill="F2F2F2"/>
          </w:tcPr>
          <w:p>
            <w:r>
              <w:rPr>
                <w:rFonts w:ascii="Arial" w:hAnsi="Arial"/>
                <w:sz w:val="16"/>
              </w:rPr>
              <w:t>50.00%</w:t>
            </w:r>
          </w:p>
        </w:tc>
        <w:tc>
          <w:tcPr>
            <w:tcW w:type="dxa" w:w="2074"/>
            <w:vAlign w:val="center"/>
            <w:shd w:fill="F2F2F2"/>
          </w:tcPr>
          <w:p>
            <w:r>
              <w:rPr>
                <w:rFonts w:ascii="Arial" w:hAnsi="Arial"/>
                <w:sz w:val="16"/>
              </w:rPr>
              <w:t>36.90</w:t>
            </w:r>
          </w:p>
        </w:tc>
      </w:tr>
    </w:tbl>
    <w:p>
      <w:r>
        <w:rPr>
          <w:b/>
          <w:color w:val="203E6B"/>
        </w:rPr>
        <w:t>Total Weighted Fair Value per Equity Share: Rs. 133.88</w:t>
      </w:r>
    </w:p>
    <w:p>
      <w:pPr>
        <w:pStyle w:val="Heading2"/>
      </w:pPr>
      <w:r>
        <w:t>8.1 Weightage - Rationale for Weights Assigned</w:t>
      </w:r>
    </w:p>
    <w:p>
      <w:r>
        <w:t>The weights assigned to the valuation methods are a matter of professional judgement. The final report should record the specific rationale for the weights selected, having regard to the reliability of the projections, relevance of asset values, nature of the business, purpose of valuation and other facts and circumstances.</w:t>
      </w:r>
    </w:p>
    <w:p>
      <w:pPr>
        <w:pStyle w:val="Heading2"/>
      </w:pPr>
      <w:r>
        <w:t>8.2 Recommended Fair Value</w:t>
      </w:r>
    </w:p>
    <w:p>
      <w:r>
        <w:t>Based on the analysis set out in this draft Report and subject to the assumptions, scope limitations and qualifications stated herein, the concluded value per equity share is set out below:</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203E6B"/>
            <w:vAlign w:val="center"/>
          </w:tcPr>
          <w:p>
            <w:pPr>
              <w:jc w:val="center"/>
            </w:pPr>
            <w:r>
              <w:rPr>
                <w:rFonts w:ascii="Arial" w:hAnsi="Arial"/>
                <w:b/>
                <w:color w:val="FFFFFF"/>
                <w:sz w:val="16"/>
              </w:rPr>
              <w:t>Particulars</w:t>
            </w:r>
          </w:p>
        </w:tc>
        <w:tc>
          <w:tcPr>
            <w:tcW w:type="dxa" w:w="5184"/>
            <w:shd w:fill="203E6B"/>
            <w:vAlign w:val="center"/>
          </w:tcPr>
          <w:p>
            <w:pPr>
              <w:jc w:val="center"/>
            </w:pPr>
            <w:r>
              <w:rPr>
                <w:rFonts w:ascii="Arial" w:hAnsi="Arial"/>
                <w:b/>
                <w:color w:val="FFFFFF"/>
                <w:sz w:val="16"/>
              </w:rPr>
              <w:t>Value / Details</w:t>
            </w:r>
          </w:p>
        </w:tc>
      </w:tr>
      <w:tr>
        <w:tc>
          <w:tcPr>
            <w:tcW w:type="dxa" w:w="5184"/>
            <w:vAlign w:val="center"/>
            <w:shd w:fill="F2F2F2"/>
          </w:tcPr>
          <w:p>
            <w:r>
              <w:rPr>
                <w:rFonts w:ascii="Arial" w:hAnsi="Arial"/>
                <w:b/>
                <w:sz w:val="16"/>
              </w:rPr>
              <w:t>Recommended Fair Value per Equity Share (Rs.)</w:t>
            </w:r>
          </w:p>
        </w:tc>
        <w:tc>
          <w:tcPr>
            <w:tcW w:type="dxa" w:w="5184"/>
            <w:vAlign w:val="center"/>
          </w:tcPr>
          <w:p>
            <w:r>
              <w:rPr>
                <w:rFonts w:ascii="Arial" w:hAnsi="Arial"/>
                <w:sz w:val="16"/>
              </w:rPr>
              <w:t>133.88</w:t>
            </w:r>
          </w:p>
        </w:tc>
      </w:tr>
      <w:tr>
        <w:tc>
          <w:tcPr>
            <w:tcW w:type="dxa" w:w="5184"/>
            <w:vAlign w:val="center"/>
            <w:shd w:fill="F2F2F2"/>
            <w:shd w:fill="F2F2F2"/>
          </w:tcPr>
          <w:p>
            <w:r>
              <w:rPr>
                <w:rFonts w:ascii="Arial" w:hAnsi="Arial"/>
                <w:b/>
                <w:sz w:val="16"/>
              </w:rPr>
              <w:t>Fully Diluted Equity Shares</w:t>
            </w:r>
          </w:p>
        </w:tc>
        <w:tc>
          <w:tcPr>
            <w:tcW w:type="dxa" w:w="5184"/>
            <w:vAlign w:val="center"/>
            <w:shd w:fill="F2F2F2"/>
          </w:tcPr>
          <w:p>
            <w:r>
              <w:rPr>
                <w:rFonts w:ascii="Arial" w:hAnsi="Arial"/>
                <w:sz w:val="16"/>
              </w:rPr>
              <w:t>6,150,000</w:t>
            </w:r>
          </w:p>
        </w:tc>
      </w:tr>
      <w:tr>
        <w:tc>
          <w:tcPr>
            <w:tcW w:type="dxa" w:w="5184"/>
            <w:vAlign w:val="center"/>
            <w:shd w:fill="F2F2F2"/>
          </w:tcPr>
          <w:p>
            <w:r>
              <w:rPr>
                <w:rFonts w:ascii="Arial" w:hAnsi="Arial"/>
                <w:b/>
                <w:sz w:val="16"/>
              </w:rPr>
              <w:t>Total Equity Value (Rs. Lakhs)</w:t>
            </w:r>
          </w:p>
        </w:tc>
        <w:tc>
          <w:tcPr>
            <w:tcW w:type="dxa" w:w="5184"/>
            <w:vAlign w:val="center"/>
          </w:tcPr>
          <w:p>
            <w:r>
              <w:rPr>
                <w:rFonts w:ascii="Arial" w:hAnsi="Arial"/>
                <w:sz w:val="16"/>
              </w:rPr>
              <w:t>8,233.77</w:t>
            </w:r>
          </w:p>
        </w:tc>
      </w:tr>
    </w:tbl>
    <w:p>
      <w:pPr>
        <w:pStyle w:val="Heading1"/>
      </w:pPr>
      <w:r>
        <w:t>9. Limiting Conditions and Disclaimer</w:t>
      </w:r>
    </w:p>
    <w:p>
      <w:pPr>
        <w:pStyle w:val="ListBullet"/>
      </w:pPr>
      <w:r>
        <w:t>This Report is restricted to the stated purpose and should not be used for another purpose without appropriate review.</w:t>
      </w:r>
    </w:p>
    <w:p>
      <w:pPr>
        <w:pStyle w:val="ListBullet"/>
      </w:pPr>
      <w:r>
        <w:t>The Valuer relies upon financial and other information supplied by management and available sources without independent audit unless expressly stated otherwise.</w:t>
      </w:r>
    </w:p>
    <w:p>
      <w:pPr>
        <w:pStyle w:val="ListBullet"/>
      </w:pPr>
      <w:r>
        <w:t>Projected financial information is inherently uncertain and actual results may differ materially from projections.</w:t>
      </w:r>
    </w:p>
    <w:p>
      <w:pPr>
        <w:pStyle w:val="ListBullet"/>
      </w:pPr>
      <w:r>
        <w:t>The valuation reflects conditions as at the Valuation Date and does not automatically incorporate subsequent events.</w:t>
      </w:r>
    </w:p>
    <w:p>
      <w:pPr>
        <w:pStyle w:val="ListBullet"/>
      </w:pPr>
      <w:r>
        <w:t>Valuation inherently involves judgement and different valuers may reasonably arrive at different conclusions.</w:t>
      </w:r>
    </w:p>
    <w:p>
      <w:pPr>
        <w:pStyle w:val="ListBullet"/>
      </w:pPr>
      <w:r>
        <w:t>This Report does not constitute legal, tax, investment or accounting advice.</w:t>
      </w:r>
    </w:p>
    <w:p>
      <w:pPr>
        <w:pStyle w:val="ListBullet"/>
      </w:pPr>
      <w:r>
        <w:t>The system-generated document is a draft and cannot be issued without Registered Valuer review and approval.</w:t>
      </w:r>
    </w:p>
    <w:p>
      <w:pPr>
        <w:pStyle w:val="Heading1"/>
      </w:pPr>
      <w:r>
        <w:t>10. Valuer Review / Declaration</w:t>
      </w:r>
    </w:p>
    <w:p>
      <w:r>
        <w:t>The following declaration section is to be completed and confirmed by the Registered Valuer after review of the final report, supporting working papers, source information, assumptions, calculations and regulatory requirements.</w:t>
      </w:r>
    </w:p>
    <w:p>
      <w:pPr>
        <w:pStyle w:val="ListBullet"/>
      </w:pPr>
      <w:r>
        <w:t>The valuation has been carried out impartially and to the best of the Valuer's knowledge and belief.</w:t>
      </w:r>
    </w:p>
    <w:p>
      <w:pPr>
        <w:pStyle w:val="ListBullet"/>
      </w:pPr>
      <w:r>
        <w:t>The Valuer is not disqualified from acting for the assignment and has considered conflicts of interest.</w:t>
      </w:r>
    </w:p>
    <w:p>
      <w:pPr>
        <w:pStyle w:val="ListBullet"/>
      </w:pPr>
      <w:r>
        <w:t>The valuation methodology and assumptions are considered appropriate for the stated purpose.</w:t>
      </w:r>
    </w:p>
    <w:p>
      <w:pPr>
        <w:pStyle w:val="ListBullet"/>
      </w:pPr>
      <w:r>
        <w:t>The fee for the engagement is not contingent upon the concluded value.</w:t>
      </w:r>
    </w:p>
    <w:p/>
    <w:p>
      <w:r>
        <w:t>_______________________________</w:t>
      </w:r>
    </w:p>
    <w:p>
      <w:r>
        <w:t>Registered Valuer - Securities or Financial Assets</w:t>
      </w:r>
    </w:p>
    <w:p>
      <w:r>
        <w:t>Registration No.: _______________________________</w:t>
      </w:r>
    </w:p>
    <w:p>
      <w:r>
        <w:t>Place: __________________  Date: __________________</w:t>
      </w:r>
    </w:p>
    <w:p>
      <w:r>
        <w:br w:type="page"/>
      </w:r>
    </w:p>
    <w:p>
      <w:pPr>
        <w:pStyle w:val="Heading1"/>
      </w:pPr>
      <w:r>
        <w:t>ANNEXURE A</w:t>
      </w:r>
    </w:p>
    <w:p>
      <w:pPr>
        <w:pStyle w:val="Heading1"/>
      </w:pPr>
      <w:r>
        <w:t>Income Approach - Discounted Cash Flow (FCFF) Method</w:t>
      </w:r>
    </w:p>
    <w:p>
      <w:pPr>
        <w:pStyle w:val="Heading2"/>
      </w:pPr>
      <w:r>
        <w:t>A.1 Basis</w:t>
      </w:r>
    </w:p>
    <w:p>
      <w:r>
        <w:t>FCFF has been derived from the projected financial information used in the valuation working. A terminal value has been determined using the Gordon Growth Model.</w:t>
      </w:r>
    </w:p>
    <w:p>
      <w:pPr>
        <w:pStyle w:val="Heading2"/>
      </w:pPr>
      <w:r>
        <w:t>A.2 Free Cash Flow to Firm - Working</w:t>
      </w:r>
    </w:p>
    <w:p>
      <w:pPr>
        <w:pStyle w:val="ReportNote"/>
      </w:pPr>
      <w:r>
        <w:t>All figures in Rs. Lakhs, unless otherwise stated.</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296"/>
            <w:shd w:fill="203E6B"/>
            <w:vAlign w:val="center"/>
          </w:tcPr>
          <w:p>
            <w:pPr>
              <w:jc w:val="center"/>
            </w:pPr>
            <w:r>
              <w:rPr>
                <w:rFonts w:ascii="Arial" w:hAnsi="Arial"/>
                <w:b/>
                <w:color w:val="FFFFFF"/>
                <w:sz w:val="16"/>
              </w:rPr>
              <w:t>Year</w:t>
            </w:r>
          </w:p>
        </w:tc>
        <w:tc>
          <w:tcPr>
            <w:tcW w:type="dxa" w:w="1296"/>
            <w:shd w:fill="203E6B"/>
            <w:vAlign w:val="center"/>
          </w:tcPr>
          <w:p>
            <w:pPr>
              <w:jc w:val="center"/>
            </w:pPr>
            <w:r>
              <w:rPr>
                <w:rFonts w:ascii="Arial" w:hAnsi="Arial"/>
                <w:b/>
                <w:color w:val="FFFFFF"/>
                <w:sz w:val="16"/>
              </w:rPr>
              <w:t>EBIT</w:t>
            </w:r>
          </w:p>
        </w:tc>
        <w:tc>
          <w:tcPr>
            <w:tcW w:type="dxa" w:w="1296"/>
            <w:shd w:fill="203E6B"/>
            <w:vAlign w:val="center"/>
          </w:tcPr>
          <w:p>
            <w:pPr>
              <w:jc w:val="center"/>
            </w:pPr>
            <w:r>
              <w:rPr>
                <w:rFonts w:ascii="Arial" w:hAnsi="Arial"/>
                <w:b/>
                <w:color w:val="FFFFFF"/>
                <w:sz w:val="16"/>
              </w:rPr>
              <w:t>Tax</w:t>
            </w:r>
          </w:p>
        </w:tc>
        <w:tc>
          <w:tcPr>
            <w:tcW w:type="dxa" w:w="1296"/>
            <w:shd w:fill="203E6B"/>
            <w:vAlign w:val="center"/>
          </w:tcPr>
          <w:p>
            <w:pPr>
              <w:jc w:val="center"/>
            </w:pPr>
            <w:r>
              <w:rPr>
                <w:rFonts w:ascii="Arial" w:hAnsi="Arial"/>
                <w:b/>
                <w:color w:val="FFFFFF"/>
                <w:sz w:val="16"/>
              </w:rPr>
              <w:t>NOPAT</w:t>
            </w:r>
          </w:p>
        </w:tc>
        <w:tc>
          <w:tcPr>
            <w:tcW w:type="dxa" w:w="1296"/>
            <w:shd w:fill="203E6B"/>
            <w:vAlign w:val="center"/>
          </w:tcPr>
          <w:p>
            <w:pPr>
              <w:jc w:val="center"/>
            </w:pPr>
            <w:r>
              <w:rPr>
                <w:rFonts w:ascii="Arial" w:hAnsi="Arial"/>
                <w:b/>
                <w:color w:val="FFFFFF"/>
                <w:sz w:val="16"/>
              </w:rPr>
              <w:t>Dep.</w:t>
            </w:r>
          </w:p>
        </w:tc>
        <w:tc>
          <w:tcPr>
            <w:tcW w:type="dxa" w:w="1296"/>
            <w:shd w:fill="203E6B"/>
            <w:vAlign w:val="center"/>
          </w:tcPr>
          <w:p>
            <w:pPr>
              <w:jc w:val="center"/>
            </w:pPr>
            <w:r>
              <w:rPr>
                <w:rFonts w:ascii="Arial" w:hAnsi="Arial"/>
                <w:b/>
                <w:color w:val="FFFFFF"/>
                <w:sz w:val="16"/>
              </w:rPr>
              <w:t>Capex</w:t>
            </w:r>
          </w:p>
        </w:tc>
        <w:tc>
          <w:tcPr>
            <w:tcW w:type="dxa" w:w="1296"/>
            <w:shd w:fill="203E6B"/>
            <w:vAlign w:val="center"/>
          </w:tcPr>
          <w:p>
            <w:pPr>
              <w:jc w:val="center"/>
            </w:pPr>
            <w:r>
              <w:rPr>
                <w:rFonts w:ascii="Arial" w:hAnsi="Arial"/>
                <w:b/>
                <w:color w:val="FFFFFF"/>
                <w:sz w:val="16"/>
              </w:rPr>
              <w:t>Increase in NWC</w:t>
            </w:r>
          </w:p>
        </w:tc>
        <w:tc>
          <w:tcPr>
            <w:tcW w:type="dxa" w:w="1296"/>
            <w:shd w:fill="203E6B"/>
            <w:vAlign w:val="center"/>
          </w:tcPr>
          <w:p>
            <w:pPr>
              <w:jc w:val="center"/>
            </w:pPr>
            <w:r>
              <w:rPr>
                <w:rFonts w:ascii="Arial" w:hAnsi="Arial"/>
                <w:b/>
                <w:color w:val="FFFFFF"/>
                <w:sz w:val="16"/>
              </w:rPr>
              <w:t>FCFF</w:t>
            </w:r>
          </w:p>
        </w:tc>
      </w:tr>
      <w:tr>
        <w:tc>
          <w:tcPr>
            <w:tcW w:type="dxa" w:w="1296"/>
            <w:vAlign w:val="center"/>
          </w:tcPr>
          <w:p>
            <w:r>
              <w:rPr>
                <w:rFonts w:ascii="Arial" w:hAnsi="Arial"/>
                <w:sz w:val="16"/>
              </w:rPr>
              <w:t>FY2027</w:t>
            </w:r>
          </w:p>
        </w:tc>
        <w:tc>
          <w:tcPr>
            <w:tcW w:type="dxa" w:w="1296"/>
            <w:vAlign w:val="center"/>
          </w:tcPr>
          <w:p>
            <w:r>
              <w:rPr>
                <w:rFonts w:ascii="Arial" w:hAnsi="Arial"/>
                <w:sz w:val="16"/>
              </w:rPr>
              <w:t>1,450.95</w:t>
            </w:r>
          </w:p>
        </w:tc>
        <w:tc>
          <w:tcPr>
            <w:tcW w:type="dxa" w:w="1296"/>
            <w:vAlign w:val="center"/>
          </w:tcPr>
          <w:p>
            <w:r>
              <w:rPr>
                <w:rFonts w:ascii="Arial" w:hAnsi="Arial"/>
                <w:sz w:val="16"/>
              </w:rPr>
              <w:t>362.74</w:t>
            </w:r>
          </w:p>
        </w:tc>
        <w:tc>
          <w:tcPr>
            <w:tcW w:type="dxa" w:w="1296"/>
            <w:vAlign w:val="center"/>
          </w:tcPr>
          <w:p>
            <w:r>
              <w:rPr>
                <w:rFonts w:ascii="Arial" w:hAnsi="Arial"/>
                <w:sz w:val="16"/>
              </w:rPr>
              <w:t>1,088.21</w:t>
            </w:r>
          </w:p>
        </w:tc>
        <w:tc>
          <w:tcPr>
            <w:tcW w:type="dxa" w:w="1296"/>
            <w:vAlign w:val="center"/>
          </w:tcPr>
          <w:p>
            <w:r>
              <w:rPr>
                <w:rFonts w:ascii="Arial" w:hAnsi="Arial"/>
                <w:sz w:val="16"/>
              </w:rPr>
              <w:t>418.88</w:t>
            </w:r>
          </w:p>
        </w:tc>
        <w:tc>
          <w:tcPr>
            <w:tcW w:type="dxa" w:w="1296"/>
            <w:vAlign w:val="center"/>
          </w:tcPr>
          <w:p>
            <w:r>
              <w:rPr>
                <w:rFonts w:ascii="Arial" w:hAnsi="Arial"/>
                <w:sz w:val="16"/>
              </w:rPr>
              <w:t>662.00</w:t>
            </w:r>
          </w:p>
        </w:tc>
        <w:tc>
          <w:tcPr>
            <w:tcW w:type="dxa" w:w="1296"/>
            <w:vAlign w:val="center"/>
          </w:tcPr>
          <w:p>
            <w:r>
              <w:rPr>
                <w:rFonts w:ascii="Arial" w:hAnsi="Arial"/>
                <w:sz w:val="16"/>
              </w:rPr>
              <w:t>381.94</w:t>
            </w:r>
          </w:p>
        </w:tc>
        <w:tc>
          <w:tcPr>
            <w:tcW w:type="dxa" w:w="1296"/>
            <w:vAlign w:val="center"/>
          </w:tcPr>
          <w:p>
            <w:r>
              <w:rPr>
                <w:rFonts w:ascii="Arial" w:hAnsi="Arial"/>
                <w:sz w:val="16"/>
              </w:rPr>
              <w:t>463.15</w:t>
            </w:r>
          </w:p>
        </w:tc>
      </w:tr>
      <w:tr>
        <w:tc>
          <w:tcPr>
            <w:tcW w:type="dxa" w:w="1296"/>
            <w:vAlign w:val="center"/>
            <w:shd w:fill="F2F2F2"/>
          </w:tcPr>
          <w:p>
            <w:r>
              <w:rPr>
                <w:rFonts w:ascii="Arial" w:hAnsi="Arial"/>
                <w:sz w:val="16"/>
              </w:rPr>
              <w:t>FY2028</w:t>
            </w:r>
          </w:p>
        </w:tc>
        <w:tc>
          <w:tcPr>
            <w:tcW w:type="dxa" w:w="1296"/>
            <w:vAlign w:val="center"/>
            <w:shd w:fill="F2F2F2"/>
          </w:tcPr>
          <w:p>
            <w:r>
              <w:rPr>
                <w:rFonts w:ascii="Arial" w:hAnsi="Arial"/>
                <w:sz w:val="16"/>
              </w:rPr>
              <w:t>1,799.47</w:t>
            </w:r>
          </w:p>
        </w:tc>
        <w:tc>
          <w:tcPr>
            <w:tcW w:type="dxa" w:w="1296"/>
            <w:vAlign w:val="center"/>
            <w:shd w:fill="F2F2F2"/>
          </w:tcPr>
          <w:p>
            <w:r>
              <w:rPr>
                <w:rFonts w:ascii="Arial" w:hAnsi="Arial"/>
                <w:sz w:val="16"/>
              </w:rPr>
              <w:t>449.87</w:t>
            </w:r>
          </w:p>
        </w:tc>
        <w:tc>
          <w:tcPr>
            <w:tcW w:type="dxa" w:w="1296"/>
            <w:vAlign w:val="center"/>
            <w:shd w:fill="F2F2F2"/>
          </w:tcPr>
          <w:p>
            <w:r>
              <w:rPr>
                <w:rFonts w:ascii="Arial" w:hAnsi="Arial"/>
                <w:sz w:val="16"/>
              </w:rPr>
              <w:t>1,349.60</w:t>
            </w:r>
          </w:p>
        </w:tc>
        <w:tc>
          <w:tcPr>
            <w:tcW w:type="dxa" w:w="1296"/>
            <w:vAlign w:val="center"/>
            <w:shd w:fill="F2F2F2"/>
          </w:tcPr>
          <w:p>
            <w:r>
              <w:rPr>
                <w:rFonts w:ascii="Arial" w:hAnsi="Arial"/>
                <w:sz w:val="16"/>
              </w:rPr>
              <w:t>447.55</w:t>
            </w:r>
          </w:p>
        </w:tc>
        <w:tc>
          <w:tcPr>
            <w:tcW w:type="dxa" w:w="1296"/>
            <w:vAlign w:val="center"/>
            <w:shd w:fill="F2F2F2"/>
          </w:tcPr>
          <w:p>
            <w:r>
              <w:rPr>
                <w:rFonts w:ascii="Arial" w:hAnsi="Arial"/>
                <w:sz w:val="16"/>
              </w:rPr>
              <w:t>462.00</w:t>
            </w:r>
          </w:p>
        </w:tc>
        <w:tc>
          <w:tcPr>
            <w:tcW w:type="dxa" w:w="1296"/>
            <w:vAlign w:val="center"/>
            <w:shd w:fill="F2F2F2"/>
          </w:tcPr>
          <w:p>
            <w:r>
              <w:rPr>
                <w:rFonts w:ascii="Arial" w:hAnsi="Arial"/>
                <w:sz w:val="16"/>
              </w:rPr>
              <w:t>414.20</w:t>
            </w:r>
          </w:p>
        </w:tc>
        <w:tc>
          <w:tcPr>
            <w:tcW w:type="dxa" w:w="1296"/>
            <w:vAlign w:val="center"/>
            <w:shd w:fill="F2F2F2"/>
          </w:tcPr>
          <w:p>
            <w:r>
              <w:rPr>
                <w:rFonts w:ascii="Arial" w:hAnsi="Arial"/>
                <w:sz w:val="16"/>
              </w:rPr>
              <w:t>920.95</w:t>
            </w:r>
          </w:p>
        </w:tc>
      </w:tr>
      <w:tr>
        <w:tc>
          <w:tcPr>
            <w:tcW w:type="dxa" w:w="1296"/>
            <w:vAlign w:val="center"/>
          </w:tcPr>
          <w:p>
            <w:r>
              <w:rPr>
                <w:rFonts w:ascii="Arial" w:hAnsi="Arial"/>
                <w:sz w:val="16"/>
              </w:rPr>
              <w:t>FY2029</w:t>
            </w:r>
          </w:p>
        </w:tc>
        <w:tc>
          <w:tcPr>
            <w:tcW w:type="dxa" w:w="1296"/>
            <w:vAlign w:val="center"/>
          </w:tcPr>
          <w:p>
            <w:r>
              <w:rPr>
                <w:rFonts w:ascii="Arial" w:hAnsi="Arial"/>
                <w:sz w:val="16"/>
              </w:rPr>
              <w:t>2,181.07</w:t>
            </w:r>
          </w:p>
        </w:tc>
        <w:tc>
          <w:tcPr>
            <w:tcW w:type="dxa" w:w="1296"/>
            <w:vAlign w:val="center"/>
          </w:tcPr>
          <w:p>
            <w:r>
              <w:rPr>
                <w:rFonts w:ascii="Arial" w:hAnsi="Arial"/>
                <w:sz w:val="16"/>
              </w:rPr>
              <w:t>545.27</w:t>
            </w:r>
          </w:p>
        </w:tc>
        <w:tc>
          <w:tcPr>
            <w:tcW w:type="dxa" w:w="1296"/>
            <w:vAlign w:val="center"/>
          </w:tcPr>
          <w:p>
            <w:r>
              <w:rPr>
                <w:rFonts w:ascii="Arial" w:hAnsi="Arial"/>
                <w:sz w:val="16"/>
              </w:rPr>
              <w:t>1,635.80</w:t>
            </w:r>
          </w:p>
        </w:tc>
        <w:tc>
          <w:tcPr>
            <w:tcW w:type="dxa" w:w="1296"/>
            <w:vAlign w:val="center"/>
          </w:tcPr>
          <w:p>
            <w:r>
              <w:rPr>
                <w:rFonts w:ascii="Arial" w:hAnsi="Arial"/>
                <w:sz w:val="16"/>
              </w:rPr>
              <w:t>451.70</w:t>
            </w:r>
          </w:p>
        </w:tc>
        <w:tc>
          <w:tcPr>
            <w:tcW w:type="dxa" w:w="1296"/>
            <w:vAlign w:val="center"/>
          </w:tcPr>
          <w:p>
            <w:r>
              <w:rPr>
                <w:rFonts w:ascii="Arial" w:hAnsi="Arial"/>
                <w:sz w:val="16"/>
              </w:rPr>
              <w:t>512.00</w:t>
            </w:r>
          </w:p>
        </w:tc>
        <w:tc>
          <w:tcPr>
            <w:tcW w:type="dxa" w:w="1296"/>
            <w:vAlign w:val="center"/>
          </w:tcPr>
          <w:p>
            <w:r>
              <w:rPr>
                <w:rFonts w:ascii="Arial" w:hAnsi="Arial"/>
                <w:sz w:val="16"/>
              </w:rPr>
              <w:t>366.68</w:t>
            </w:r>
          </w:p>
        </w:tc>
        <w:tc>
          <w:tcPr>
            <w:tcW w:type="dxa" w:w="1296"/>
            <w:vAlign w:val="center"/>
          </w:tcPr>
          <w:p>
            <w:r>
              <w:rPr>
                <w:rFonts w:ascii="Arial" w:hAnsi="Arial"/>
                <w:sz w:val="16"/>
              </w:rPr>
              <w:t>1,208.82</w:t>
            </w:r>
          </w:p>
        </w:tc>
      </w:tr>
      <w:tr>
        <w:tc>
          <w:tcPr>
            <w:tcW w:type="dxa" w:w="1296"/>
            <w:vAlign w:val="center"/>
            <w:shd w:fill="F2F2F2"/>
          </w:tcPr>
          <w:p>
            <w:r>
              <w:rPr>
                <w:rFonts w:ascii="Arial" w:hAnsi="Arial"/>
                <w:sz w:val="16"/>
              </w:rPr>
              <w:t>FY2030</w:t>
            </w:r>
          </w:p>
        </w:tc>
        <w:tc>
          <w:tcPr>
            <w:tcW w:type="dxa" w:w="1296"/>
            <w:vAlign w:val="center"/>
            <w:shd w:fill="F2F2F2"/>
          </w:tcPr>
          <w:p>
            <w:r>
              <w:rPr>
                <w:rFonts w:ascii="Arial" w:hAnsi="Arial"/>
                <w:sz w:val="16"/>
              </w:rPr>
              <w:t>2,555.69</w:t>
            </w:r>
          </w:p>
        </w:tc>
        <w:tc>
          <w:tcPr>
            <w:tcW w:type="dxa" w:w="1296"/>
            <w:vAlign w:val="center"/>
            <w:shd w:fill="F2F2F2"/>
          </w:tcPr>
          <w:p>
            <w:r>
              <w:rPr>
                <w:rFonts w:ascii="Arial" w:hAnsi="Arial"/>
                <w:sz w:val="16"/>
              </w:rPr>
              <w:t>638.92</w:t>
            </w:r>
          </w:p>
        </w:tc>
        <w:tc>
          <w:tcPr>
            <w:tcW w:type="dxa" w:w="1296"/>
            <w:vAlign w:val="center"/>
            <w:shd w:fill="F2F2F2"/>
          </w:tcPr>
          <w:p>
            <w:r>
              <w:rPr>
                <w:rFonts w:ascii="Arial" w:hAnsi="Arial"/>
                <w:sz w:val="16"/>
              </w:rPr>
              <w:t>1,916.77</w:t>
            </w:r>
          </w:p>
        </w:tc>
        <w:tc>
          <w:tcPr>
            <w:tcW w:type="dxa" w:w="1296"/>
            <w:vAlign w:val="center"/>
            <w:shd w:fill="F2F2F2"/>
          </w:tcPr>
          <w:p>
            <w:r>
              <w:rPr>
                <w:rFonts w:ascii="Arial" w:hAnsi="Arial"/>
                <w:sz w:val="16"/>
              </w:rPr>
              <w:t>452.78</w:t>
            </w:r>
          </w:p>
        </w:tc>
        <w:tc>
          <w:tcPr>
            <w:tcW w:type="dxa" w:w="1296"/>
            <w:vAlign w:val="center"/>
            <w:shd w:fill="F2F2F2"/>
          </w:tcPr>
          <w:p>
            <w:r>
              <w:rPr>
                <w:rFonts w:ascii="Arial" w:hAnsi="Arial"/>
                <w:sz w:val="16"/>
              </w:rPr>
              <w:t>412.00</w:t>
            </w:r>
          </w:p>
        </w:tc>
        <w:tc>
          <w:tcPr>
            <w:tcW w:type="dxa" w:w="1296"/>
            <w:vAlign w:val="center"/>
            <w:shd w:fill="F2F2F2"/>
          </w:tcPr>
          <w:p>
            <w:r>
              <w:rPr>
                <w:rFonts w:ascii="Arial" w:hAnsi="Arial"/>
                <w:sz w:val="16"/>
              </w:rPr>
              <w:t>338.46</w:t>
            </w:r>
          </w:p>
        </w:tc>
        <w:tc>
          <w:tcPr>
            <w:tcW w:type="dxa" w:w="1296"/>
            <w:vAlign w:val="center"/>
            <w:shd w:fill="F2F2F2"/>
          </w:tcPr>
          <w:p>
            <w:r>
              <w:rPr>
                <w:rFonts w:ascii="Arial" w:hAnsi="Arial"/>
                <w:sz w:val="16"/>
              </w:rPr>
              <w:t>1,619.09</w:t>
            </w:r>
          </w:p>
        </w:tc>
      </w:tr>
      <w:tr>
        <w:tc>
          <w:tcPr>
            <w:tcW w:type="dxa" w:w="1296"/>
            <w:vAlign w:val="center"/>
          </w:tcPr>
          <w:p>
            <w:r>
              <w:rPr>
                <w:rFonts w:ascii="Arial" w:hAnsi="Arial"/>
                <w:sz w:val="16"/>
              </w:rPr>
              <w:t>FY2031</w:t>
            </w:r>
          </w:p>
        </w:tc>
        <w:tc>
          <w:tcPr>
            <w:tcW w:type="dxa" w:w="1296"/>
            <w:vAlign w:val="center"/>
          </w:tcPr>
          <w:p>
            <w:r>
              <w:rPr>
                <w:rFonts w:ascii="Arial" w:hAnsi="Arial"/>
                <w:sz w:val="16"/>
              </w:rPr>
              <w:t>2,902.02</w:t>
            </w:r>
          </w:p>
        </w:tc>
        <w:tc>
          <w:tcPr>
            <w:tcW w:type="dxa" w:w="1296"/>
            <w:vAlign w:val="center"/>
          </w:tcPr>
          <w:p>
            <w:r>
              <w:rPr>
                <w:rFonts w:ascii="Arial" w:hAnsi="Arial"/>
                <w:sz w:val="16"/>
              </w:rPr>
              <w:t>725.51</w:t>
            </w:r>
          </w:p>
        </w:tc>
        <w:tc>
          <w:tcPr>
            <w:tcW w:type="dxa" w:w="1296"/>
            <w:vAlign w:val="center"/>
          </w:tcPr>
          <w:p>
            <w:r>
              <w:rPr>
                <w:rFonts w:ascii="Arial" w:hAnsi="Arial"/>
                <w:sz w:val="16"/>
              </w:rPr>
              <w:t>2,176.51</w:t>
            </w:r>
          </w:p>
        </w:tc>
        <w:tc>
          <w:tcPr>
            <w:tcW w:type="dxa" w:w="1296"/>
            <w:vAlign w:val="center"/>
          </w:tcPr>
          <w:p>
            <w:r>
              <w:rPr>
                <w:rFonts w:ascii="Arial" w:hAnsi="Arial"/>
                <w:sz w:val="16"/>
              </w:rPr>
              <w:t>451.12</w:t>
            </w:r>
          </w:p>
        </w:tc>
        <w:tc>
          <w:tcPr>
            <w:tcW w:type="dxa" w:w="1296"/>
            <w:vAlign w:val="center"/>
          </w:tcPr>
          <w:p>
            <w:r>
              <w:rPr>
                <w:rFonts w:ascii="Arial" w:hAnsi="Arial"/>
                <w:sz w:val="16"/>
              </w:rPr>
              <w:t>462.00</w:t>
            </w:r>
          </w:p>
        </w:tc>
        <w:tc>
          <w:tcPr>
            <w:tcW w:type="dxa" w:w="1296"/>
            <w:vAlign w:val="center"/>
          </w:tcPr>
          <w:p>
            <w:r>
              <w:rPr>
                <w:rFonts w:ascii="Arial" w:hAnsi="Arial"/>
                <w:sz w:val="16"/>
              </w:rPr>
              <w:t>322.02</w:t>
            </w:r>
          </w:p>
        </w:tc>
        <w:tc>
          <w:tcPr>
            <w:tcW w:type="dxa" w:w="1296"/>
            <w:vAlign w:val="center"/>
          </w:tcPr>
          <w:p>
            <w:r>
              <w:rPr>
                <w:rFonts w:ascii="Arial" w:hAnsi="Arial"/>
                <w:sz w:val="16"/>
              </w:rPr>
              <w:t>1,843.61</w:t>
            </w:r>
          </w:p>
        </w:tc>
      </w:tr>
    </w:tbl>
    <w:p>
      <w:pPr>
        <w:pStyle w:val="Heading2"/>
      </w:pPr>
      <w:r>
        <w:t>A.3 Discounting and Terminal Value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203E6B"/>
            <w:vAlign w:val="center"/>
          </w:tcPr>
          <w:p>
            <w:pPr>
              <w:jc w:val="center"/>
            </w:pPr>
            <w:r>
              <w:rPr>
                <w:rFonts w:ascii="Arial" w:hAnsi="Arial"/>
                <w:b/>
                <w:color w:val="FFFFFF"/>
                <w:sz w:val="16"/>
              </w:rPr>
              <w:t>Year</w:t>
            </w:r>
          </w:p>
        </w:tc>
        <w:tc>
          <w:tcPr>
            <w:tcW w:type="dxa" w:w="3456"/>
            <w:shd w:fill="203E6B"/>
            <w:vAlign w:val="center"/>
          </w:tcPr>
          <w:p>
            <w:pPr>
              <w:jc w:val="center"/>
            </w:pPr>
            <w:r>
              <w:rPr>
                <w:rFonts w:ascii="Arial" w:hAnsi="Arial"/>
                <w:b/>
                <w:color w:val="FFFFFF"/>
                <w:sz w:val="16"/>
              </w:rPr>
              <w:t>Discount Factor</w:t>
            </w:r>
          </w:p>
        </w:tc>
        <w:tc>
          <w:tcPr>
            <w:tcW w:type="dxa" w:w="3456"/>
            <w:shd w:fill="203E6B"/>
            <w:vAlign w:val="center"/>
          </w:tcPr>
          <w:p>
            <w:pPr>
              <w:jc w:val="center"/>
            </w:pPr>
            <w:r>
              <w:rPr>
                <w:rFonts w:ascii="Arial" w:hAnsi="Arial"/>
                <w:b/>
                <w:color w:val="FFFFFF"/>
                <w:sz w:val="16"/>
              </w:rPr>
              <w:t>Present Value of FCFF</w:t>
            </w:r>
          </w:p>
        </w:tc>
      </w:tr>
      <w:tr>
        <w:tc>
          <w:tcPr>
            <w:tcW w:type="dxa" w:w="3456"/>
            <w:vAlign w:val="center"/>
          </w:tcPr>
          <w:p>
            <w:r>
              <w:rPr>
                <w:rFonts w:ascii="Arial" w:hAnsi="Arial"/>
                <w:sz w:val="16"/>
              </w:rPr>
              <w:t>FY2027</w:t>
            </w:r>
          </w:p>
        </w:tc>
        <w:tc>
          <w:tcPr>
            <w:tcW w:type="dxa" w:w="3456"/>
            <w:vAlign w:val="center"/>
          </w:tcPr>
          <w:p>
            <w:r>
              <w:rPr>
                <w:rFonts w:ascii="Arial" w:hAnsi="Arial"/>
                <w:sz w:val="16"/>
              </w:rPr>
              <w:t>0.8696</w:t>
            </w:r>
          </w:p>
        </w:tc>
        <w:tc>
          <w:tcPr>
            <w:tcW w:type="dxa" w:w="3456"/>
            <w:vAlign w:val="center"/>
          </w:tcPr>
          <w:p>
            <w:r>
              <w:rPr>
                <w:rFonts w:ascii="Arial" w:hAnsi="Arial"/>
                <w:sz w:val="16"/>
              </w:rPr>
              <w:t>402.74</w:t>
            </w:r>
          </w:p>
        </w:tc>
      </w:tr>
      <w:tr>
        <w:tc>
          <w:tcPr>
            <w:tcW w:type="dxa" w:w="3456"/>
            <w:vAlign w:val="center"/>
            <w:shd w:fill="F2F2F2"/>
          </w:tcPr>
          <w:p>
            <w:r>
              <w:rPr>
                <w:rFonts w:ascii="Arial" w:hAnsi="Arial"/>
                <w:sz w:val="16"/>
              </w:rPr>
              <w:t>FY2028</w:t>
            </w:r>
          </w:p>
        </w:tc>
        <w:tc>
          <w:tcPr>
            <w:tcW w:type="dxa" w:w="3456"/>
            <w:vAlign w:val="center"/>
            <w:shd w:fill="F2F2F2"/>
          </w:tcPr>
          <w:p>
            <w:r>
              <w:rPr>
                <w:rFonts w:ascii="Arial" w:hAnsi="Arial"/>
                <w:sz w:val="16"/>
              </w:rPr>
              <w:t>0.7561</w:t>
            </w:r>
          </w:p>
        </w:tc>
        <w:tc>
          <w:tcPr>
            <w:tcW w:type="dxa" w:w="3456"/>
            <w:vAlign w:val="center"/>
            <w:shd w:fill="F2F2F2"/>
          </w:tcPr>
          <w:p>
            <w:r>
              <w:rPr>
                <w:rFonts w:ascii="Arial" w:hAnsi="Arial"/>
                <w:sz w:val="16"/>
              </w:rPr>
              <w:t>696.37</w:t>
            </w:r>
          </w:p>
        </w:tc>
      </w:tr>
      <w:tr>
        <w:tc>
          <w:tcPr>
            <w:tcW w:type="dxa" w:w="3456"/>
            <w:vAlign w:val="center"/>
          </w:tcPr>
          <w:p>
            <w:r>
              <w:rPr>
                <w:rFonts w:ascii="Arial" w:hAnsi="Arial"/>
                <w:sz w:val="16"/>
              </w:rPr>
              <w:t>FY2029</w:t>
            </w:r>
          </w:p>
        </w:tc>
        <w:tc>
          <w:tcPr>
            <w:tcW w:type="dxa" w:w="3456"/>
            <w:vAlign w:val="center"/>
          </w:tcPr>
          <w:p>
            <w:r>
              <w:rPr>
                <w:rFonts w:ascii="Arial" w:hAnsi="Arial"/>
                <w:sz w:val="16"/>
              </w:rPr>
              <w:t>0.6575</w:t>
            </w:r>
          </w:p>
        </w:tc>
        <w:tc>
          <w:tcPr>
            <w:tcW w:type="dxa" w:w="3456"/>
            <w:vAlign w:val="center"/>
          </w:tcPr>
          <w:p>
            <w:r>
              <w:rPr>
                <w:rFonts w:ascii="Arial" w:hAnsi="Arial"/>
                <w:sz w:val="16"/>
              </w:rPr>
              <w:t>794.82</w:t>
            </w:r>
          </w:p>
        </w:tc>
      </w:tr>
      <w:tr>
        <w:tc>
          <w:tcPr>
            <w:tcW w:type="dxa" w:w="3456"/>
            <w:vAlign w:val="center"/>
            <w:shd w:fill="F2F2F2"/>
          </w:tcPr>
          <w:p>
            <w:r>
              <w:rPr>
                <w:rFonts w:ascii="Arial" w:hAnsi="Arial"/>
                <w:sz w:val="16"/>
              </w:rPr>
              <w:t>FY2030</w:t>
            </w:r>
          </w:p>
        </w:tc>
        <w:tc>
          <w:tcPr>
            <w:tcW w:type="dxa" w:w="3456"/>
            <w:vAlign w:val="center"/>
            <w:shd w:fill="F2F2F2"/>
          </w:tcPr>
          <w:p>
            <w:r>
              <w:rPr>
                <w:rFonts w:ascii="Arial" w:hAnsi="Arial"/>
                <w:sz w:val="16"/>
              </w:rPr>
              <w:t>0.5718</w:t>
            </w:r>
          </w:p>
        </w:tc>
        <w:tc>
          <w:tcPr>
            <w:tcW w:type="dxa" w:w="3456"/>
            <w:vAlign w:val="center"/>
            <w:shd w:fill="F2F2F2"/>
          </w:tcPr>
          <w:p>
            <w:r>
              <w:rPr>
                <w:rFonts w:ascii="Arial" w:hAnsi="Arial"/>
                <w:sz w:val="16"/>
              </w:rPr>
              <w:t>925.72</w:t>
            </w:r>
          </w:p>
        </w:tc>
      </w:tr>
      <w:tr>
        <w:tc>
          <w:tcPr>
            <w:tcW w:type="dxa" w:w="3456"/>
            <w:vAlign w:val="center"/>
          </w:tcPr>
          <w:p>
            <w:r>
              <w:rPr>
                <w:rFonts w:ascii="Arial" w:hAnsi="Arial"/>
                <w:sz w:val="16"/>
              </w:rPr>
              <w:t>FY2031</w:t>
            </w:r>
          </w:p>
        </w:tc>
        <w:tc>
          <w:tcPr>
            <w:tcW w:type="dxa" w:w="3456"/>
            <w:vAlign w:val="center"/>
          </w:tcPr>
          <w:p>
            <w:r>
              <w:rPr>
                <w:rFonts w:ascii="Arial" w:hAnsi="Arial"/>
                <w:sz w:val="16"/>
              </w:rPr>
              <w:t>0.4972</w:t>
            </w:r>
          </w:p>
        </w:tc>
        <w:tc>
          <w:tcPr>
            <w:tcW w:type="dxa" w:w="3456"/>
            <w:vAlign w:val="center"/>
          </w:tcPr>
          <w:p>
            <w:r>
              <w:rPr>
                <w:rFonts w:ascii="Arial" w:hAnsi="Arial"/>
                <w:sz w:val="16"/>
              </w:rPr>
              <w:t>916.60</w:t>
            </w:r>
          </w:p>
        </w:tc>
      </w:tr>
    </w:tbl>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203E6B"/>
            <w:vAlign w:val="center"/>
          </w:tcPr>
          <w:p>
            <w:pPr>
              <w:jc w:val="center"/>
            </w:pPr>
            <w:r>
              <w:rPr>
                <w:rFonts w:ascii="Arial" w:hAnsi="Arial"/>
                <w:b/>
                <w:color w:val="FFFFFF"/>
                <w:sz w:val="16"/>
              </w:rPr>
              <w:t>Particulars</w:t>
            </w:r>
          </w:p>
        </w:tc>
        <w:tc>
          <w:tcPr>
            <w:tcW w:type="dxa" w:w="5184"/>
            <w:shd w:fill="203E6B"/>
            <w:vAlign w:val="center"/>
          </w:tcPr>
          <w:p>
            <w:pPr>
              <w:jc w:val="center"/>
            </w:pPr>
            <w:r>
              <w:rPr>
                <w:rFonts w:ascii="Arial" w:hAnsi="Arial"/>
                <w:b/>
                <w:color w:val="FFFFFF"/>
                <w:sz w:val="16"/>
              </w:rPr>
              <w:t>Value / Details</w:t>
            </w:r>
          </w:p>
        </w:tc>
      </w:tr>
      <w:tr>
        <w:tc>
          <w:tcPr>
            <w:tcW w:type="dxa" w:w="5184"/>
            <w:vAlign w:val="center"/>
            <w:shd w:fill="F2F2F2"/>
          </w:tcPr>
          <w:p>
            <w:r>
              <w:rPr>
                <w:rFonts w:ascii="Arial" w:hAnsi="Arial"/>
                <w:b/>
                <w:sz w:val="16"/>
              </w:rPr>
              <w:t>Terminal Growth Rate</w:t>
            </w:r>
          </w:p>
        </w:tc>
        <w:tc>
          <w:tcPr>
            <w:tcW w:type="dxa" w:w="5184"/>
            <w:vAlign w:val="center"/>
          </w:tcPr>
          <w:p>
            <w:r>
              <w:rPr>
                <w:rFonts w:ascii="Arial" w:hAnsi="Arial"/>
                <w:sz w:val="16"/>
              </w:rPr>
              <w:t>5.00%</w:t>
            </w:r>
          </w:p>
        </w:tc>
      </w:tr>
      <w:tr>
        <w:tc>
          <w:tcPr>
            <w:tcW w:type="dxa" w:w="5184"/>
            <w:vAlign w:val="center"/>
            <w:shd w:fill="F2F2F2"/>
            <w:shd w:fill="F2F2F2"/>
          </w:tcPr>
          <w:p>
            <w:r>
              <w:rPr>
                <w:rFonts w:ascii="Arial" w:hAnsi="Arial"/>
                <w:b/>
                <w:sz w:val="16"/>
              </w:rPr>
              <w:t>Terminal Value (Rs. Lakhs)</w:t>
            </w:r>
          </w:p>
        </w:tc>
        <w:tc>
          <w:tcPr>
            <w:tcW w:type="dxa" w:w="5184"/>
            <w:vAlign w:val="center"/>
            <w:shd w:fill="F2F2F2"/>
          </w:tcPr>
          <w:p>
            <w:r>
              <w:rPr>
                <w:rFonts w:ascii="Arial" w:hAnsi="Arial"/>
                <w:sz w:val="16"/>
              </w:rPr>
              <w:t>19,357.91</w:t>
            </w:r>
          </w:p>
        </w:tc>
      </w:tr>
      <w:tr>
        <w:tc>
          <w:tcPr>
            <w:tcW w:type="dxa" w:w="5184"/>
            <w:vAlign w:val="center"/>
            <w:shd w:fill="F2F2F2"/>
          </w:tcPr>
          <w:p>
            <w:r>
              <w:rPr>
                <w:rFonts w:ascii="Arial" w:hAnsi="Arial"/>
                <w:b/>
                <w:sz w:val="16"/>
              </w:rPr>
              <w:t>Present Value of Terminal Value (Rs. Lakhs)</w:t>
            </w:r>
          </w:p>
        </w:tc>
        <w:tc>
          <w:tcPr>
            <w:tcW w:type="dxa" w:w="5184"/>
            <w:vAlign w:val="center"/>
          </w:tcPr>
          <w:p>
            <w:r>
              <w:rPr>
                <w:rFonts w:ascii="Arial" w:hAnsi="Arial"/>
                <w:sz w:val="16"/>
              </w:rPr>
              <w:t>9,624.30</w:t>
            </w:r>
          </w:p>
        </w:tc>
      </w:tr>
    </w:tbl>
    <w:p>
      <w:pPr>
        <w:pStyle w:val="Heading2"/>
      </w:pPr>
      <w:r>
        <w:t>A.4 Enterprise Value to Equity Value Bridge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203E6B"/>
            <w:vAlign w:val="center"/>
          </w:tcPr>
          <w:p>
            <w:pPr>
              <w:jc w:val="center"/>
            </w:pPr>
            <w:r>
              <w:rPr>
                <w:rFonts w:ascii="Arial" w:hAnsi="Arial"/>
                <w:b/>
                <w:color w:val="FFFFFF"/>
                <w:sz w:val="16"/>
              </w:rPr>
              <w:t>Particulars</w:t>
            </w:r>
          </w:p>
        </w:tc>
        <w:tc>
          <w:tcPr>
            <w:tcW w:type="dxa" w:w="5184"/>
            <w:shd w:fill="203E6B"/>
            <w:vAlign w:val="center"/>
          </w:tcPr>
          <w:p>
            <w:pPr>
              <w:jc w:val="center"/>
            </w:pPr>
            <w:r>
              <w:rPr>
                <w:rFonts w:ascii="Arial" w:hAnsi="Arial"/>
                <w:b/>
                <w:color w:val="FFFFFF"/>
                <w:sz w:val="16"/>
              </w:rPr>
              <w:t>Value / Details</w:t>
            </w:r>
          </w:p>
        </w:tc>
      </w:tr>
      <w:tr>
        <w:tc>
          <w:tcPr>
            <w:tcW w:type="dxa" w:w="5184"/>
            <w:vAlign w:val="center"/>
            <w:shd w:fill="F2F2F2"/>
          </w:tcPr>
          <w:p>
            <w:r>
              <w:rPr>
                <w:rFonts w:ascii="Arial" w:hAnsi="Arial"/>
                <w:b/>
                <w:sz w:val="16"/>
              </w:rPr>
              <w:t>Sum of PV of explicit period FCFF</w:t>
            </w:r>
          </w:p>
        </w:tc>
        <w:tc>
          <w:tcPr>
            <w:tcW w:type="dxa" w:w="5184"/>
            <w:vAlign w:val="center"/>
          </w:tcPr>
          <w:p>
            <w:r>
              <w:rPr>
                <w:rFonts w:ascii="Arial" w:hAnsi="Arial"/>
                <w:sz w:val="16"/>
              </w:rPr>
              <w:t>3,736.25</w:t>
            </w:r>
          </w:p>
        </w:tc>
      </w:tr>
      <w:tr>
        <w:tc>
          <w:tcPr>
            <w:tcW w:type="dxa" w:w="5184"/>
            <w:vAlign w:val="center"/>
            <w:shd w:fill="F2F2F2"/>
            <w:shd w:fill="F2F2F2"/>
          </w:tcPr>
          <w:p>
            <w:r>
              <w:rPr>
                <w:rFonts w:ascii="Arial" w:hAnsi="Arial"/>
                <w:b/>
                <w:sz w:val="16"/>
              </w:rPr>
              <w:t>Add: PV of Terminal Value</w:t>
            </w:r>
          </w:p>
        </w:tc>
        <w:tc>
          <w:tcPr>
            <w:tcW w:type="dxa" w:w="5184"/>
            <w:vAlign w:val="center"/>
            <w:shd w:fill="F2F2F2"/>
          </w:tcPr>
          <w:p>
            <w:r>
              <w:rPr>
                <w:rFonts w:ascii="Arial" w:hAnsi="Arial"/>
                <w:sz w:val="16"/>
              </w:rPr>
              <w:t>9,624.30</w:t>
            </w:r>
          </w:p>
        </w:tc>
      </w:tr>
      <w:tr>
        <w:tc>
          <w:tcPr>
            <w:tcW w:type="dxa" w:w="5184"/>
            <w:vAlign w:val="center"/>
            <w:shd w:fill="F2F2F2"/>
          </w:tcPr>
          <w:p>
            <w:r>
              <w:rPr>
                <w:rFonts w:ascii="Arial" w:hAnsi="Arial"/>
                <w:b/>
                <w:sz w:val="16"/>
              </w:rPr>
              <w:t>Enterprise Value</w:t>
            </w:r>
          </w:p>
        </w:tc>
        <w:tc>
          <w:tcPr>
            <w:tcW w:type="dxa" w:w="5184"/>
            <w:vAlign w:val="center"/>
          </w:tcPr>
          <w:p>
            <w:r>
              <w:rPr>
                <w:rFonts w:ascii="Arial" w:hAnsi="Arial"/>
                <w:sz w:val="16"/>
              </w:rPr>
              <w:t>13,360.55</w:t>
            </w:r>
          </w:p>
        </w:tc>
      </w:tr>
      <w:tr>
        <w:tc>
          <w:tcPr>
            <w:tcW w:type="dxa" w:w="5184"/>
            <w:vAlign w:val="center"/>
            <w:shd w:fill="F2F2F2"/>
            <w:shd w:fill="F2F2F2"/>
          </w:tcPr>
          <w:p>
            <w:r>
              <w:rPr>
                <w:rFonts w:ascii="Arial" w:hAnsi="Arial"/>
                <w:b/>
                <w:sz w:val="16"/>
              </w:rPr>
              <w:t>Add: Cash &amp; Cash Equivalents</w:t>
            </w:r>
          </w:p>
        </w:tc>
        <w:tc>
          <w:tcPr>
            <w:tcW w:type="dxa" w:w="5184"/>
            <w:vAlign w:val="center"/>
            <w:shd w:fill="F2F2F2"/>
          </w:tcPr>
          <w:p>
            <w:r>
              <w:rPr>
                <w:rFonts w:ascii="Arial" w:hAnsi="Arial"/>
                <w:sz w:val="16"/>
              </w:rPr>
              <w:t>829.00</w:t>
            </w:r>
          </w:p>
        </w:tc>
      </w:tr>
      <w:tr>
        <w:tc>
          <w:tcPr>
            <w:tcW w:type="dxa" w:w="5184"/>
            <w:vAlign w:val="center"/>
            <w:shd w:fill="F2F2F2"/>
          </w:tcPr>
          <w:p>
            <w:r>
              <w:rPr>
                <w:rFonts w:ascii="Arial" w:hAnsi="Arial"/>
                <w:b/>
                <w:sz w:val="16"/>
              </w:rPr>
              <w:t>Add: Non-Operating Assets</w:t>
            </w:r>
          </w:p>
        </w:tc>
        <w:tc>
          <w:tcPr>
            <w:tcW w:type="dxa" w:w="5184"/>
            <w:vAlign w:val="center"/>
          </w:tcPr>
          <w:p>
            <w:r>
              <w:rPr>
                <w:rFonts w:ascii="Arial" w:hAnsi="Arial"/>
                <w:sz w:val="16"/>
              </w:rPr>
              <w:t>0.00</w:t>
            </w:r>
          </w:p>
        </w:tc>
      </w:tr>
      <w:tr>
        <w:tc>
          <w:tcPr>
            <w:tcW w:type="dxa" w:w="5184"/>
            <w:vAlign w:val="center"/>
            <w:shd w:fill="F2F2F2"/>
            <w:shd w:fill="F2F2F2"/>
          </w:tcPr>
          <w:p>
            <w:r>
              <w:rPr>
                <w:rFonts w:ascii="Arial" w:hAnsi="Arial"/>
                <w:b/>
                <w:sz w:val="16"/>
              </w:rPr>
              <w:t>Less: Debt</w:t>
            </w:r>
          </w:p>
        </w:tc>
        <w:tc>
          <w:tcPr>
            <w:tcW w:type="dxa" w:w="5184"/>
            <w:vAlign w:val="center"/>
            <w:shd w:fill="F2F2F2"/>
          </w:tcPr>
          <w:p>
            <w:r>
              <w:rPr>
                <w:rFonts w:ascii="Arial" w:hAnsi="Arial"/>
                <w:sz w:val="16"/>
              </w:rPr>
              <w:t>2,260.00</w:t>
            </w:r>
          </w:p>
        </w:tc>
      </w:tr>
      <w:tr>
        <w:tc>
          <w:tcPr>
            <w:tcW w:type="dxa" w:w="5184"/>
            <w:vAlign w:val="center"/>
            <w:shd w:fill="F2F2F2"/>
          </w:tcPr>
          <w:p>
            <w:r>
              <w:rPr>
                <w:rFonts w:ascii="Arial" w:hAnsi="Arial"/>
                <w:b/>
                <w:sz w:val="16"/>
              </w:rPr>
              <w:t>Equity Value under DCF (Rs. Lakhs)</w:t>
            </w:r>
          </w:p>
        </w:tc>
        <w:tc>
          <w:tcPr>
            <w:tcW w:type="dxa" w:w="5184"/>
            <w:vAlign w:val="center"/>
          </w:tcPr>
          <w:p>
            <w:r>
              <w:rPr>
                <w:rFonts w:ascii="Arial" w:hAnsi="Arial"/>
                <w:sz w:val="16"/>
              </w:rPr>
              <w:t>11,929.55</w:t>
            </w:r>
          </w:p>
        </w:tc>
      </w:tr>
      <w:tr>
        <w:tc>
          <w:tcPr>
            <w:tcW w:type="dxa" w:w="5184"/>
            <w:vAlign w:val="center"/>
            <w:shd w:fill="F2F2F2"/>
            <w:shd w:fill="F2F2F2"/>
          </w:tcPr>
          <w:p>
            <w:r>
              <w:rPr>
                <w:rFonts w:ascii="Arial" w:hAnsi="Arial"/>
                <w:b/>
                <w:sz w:val="16"/>
              </w:rPr>
              <w:t>Fully Diluted Equity Shares</w:t>
            </w:r>
          </w:p>
        </w:tc>
        <w:tc>
          <w:tcPr>
            <w:tcW w:type="dxa" w:w="5184"/>
            <w:vAlign w:val="center"/>
            <w:shd w:fill="F2F2F2"/>
          </w:tcPr>
          <w:p>
            <w:r>
              <w:rPr>
                <w:rFonts w:ascii="Arial" w:hAnsi="Arial"/>
                <w:sz w:val="16"/>
              </w:rPr>
              <w:t>6,150,000</w:t>
            </w:r>
          </w:p>
        </w:tc>
      </w:tr>
      <w:tr>
        <w:tc>
          <w:tcPr>
            <w:tcW w:type="dxa" w:w="5184"/>
            <w:vAlign w:val="center"/>
            <w:shd w:fill="F2F2F2"/>
          </w:tcPr>
          <w:p>
            <w:r>
              <w:rPr>
                <w:rFonts w:ascii="Arial" w:hAnsi="Arial"/>
                <w:b/>
                <w:sz w:val="16"/>
              </w:rPr>
              <w:t>Value per Equity Share under DCF (Rs.)</w:t>
            </w:r>
          </w:p>
        </w:tc>
        <w:tc>
          <w:tcPr>
            <w:tcW w:type="dxa" w:w="5184"/>
            <w:vAlign w:val="center"/>
          </w:tcPr>
          <w:p>
            <w:r>
              <w:rPr>
                <w:rFonts w:ascii="Arial" w:hAnsi="Arial"/>
                <w:sz w:val="16"/>
              </w:rPr>
              <w:t>193.98</w:t>
            </w:r>
          </w:p>
        </w:tc>
      </w:tr>
    </w:tbl>
    <w:p>
      <w:r>
        <w:br w:type="page"/>
      </w:r>
    </w:p>
    <w:p>
      <w:pPr>
        <w:pStyle w:val="Heading1"/>
      </w:pPr>
      <w:r>
        <w:t>ANNEXURE B</w:t>
      </w:r>
    </w:p>
    <w:p>
      <w:pPr>
        <w:pStyle w:val="Heading1"/>
      </w:pPr>
      <w:r>
        <w:t>Asset Approach - Net Asset Value Method</w:t>
      </w:r>
    </w:p>
    <w:p>
      <w:pPr>
        <w:pStyle w:val="Heading2"/>
      </w:pPr>
      <w:r>
        <w:t>B.1 Basis</w:t>
      </w:r>
    </w:p>
    <w:p>
      <w:r>
        <w:t>NAV has been computed from the adjusted / considered assets and liabilities recorded in the valuation working. The automatically populated values are starting figures and require valuer review for fair-value and other adjustments.</w:t>
      </w:r>
    </w:p>
    <w:p>
      <w:pPr>
        <w:pStyle w:val="Heading2"/>
      </w:pPr>
      <w:r>
        <w:t>B.2 Working</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203E6B"/>
            <w:vAlign w:val="center"/>
          </w:tcPr>
          <w:p>
            <w:pPr>
              <w:jc w:val="center"/>
            </w:pPr>
            <w:r>
              <w:rPr>
                <w:rFonts w:ascii="Arial" w:hAnsi="Arial"/>
                <w:b/>
                <w:color w:val="FFFFFF"/>
                <w:sz w:val="16"/>
              </w:rPr>
              <w:t>Particulars</w:t>
            </w:r>
          </w:p>
        </w:tc>
        <w:tc>
          <w:tcPr>
            <w:tcW w:type="dxa" w:w="5184"/>
            <w:shd w:fill="203E6B"/>
            <w:vAlign w:val="center"/>
          </w:tcPr>
          <w:p>
            <w:pPr>
              <w:jc w:val="center"/>
            </w:pPr>
            <w:r>
              <w:rPr>
                <w:rFonts w:ascii="Arial" w:hAnsi="Arial"/>
                <w:b/>
                <w:color w:val="FFFFFF"/>
                <w:sz w:val="16"/>
              </w:rPr>
              <w:t>Value / Details</w:t>
            </w:r>
          </w:p>
        </w:tc>
      </w:tr>
      <w:tr>
        <w:tc>
          <w:tcPr>
            <w:tcW w:type="dxa" w:w="5184"/>
            <w:vAlign w:val="center"/>
            <w:shd w:fill="F2F2F2"/>
          </w:tcPr>
          <w:p>
            <w:r>
              <w:rPr>
                <w:rFonts w:ascii="Arial" w:hAnsi="Arial"/>
                <w:b/>
                <w:sz w:val="16"/>
              </w:rPr>
              <w:t>Adjusted / Considered Assets (Rs. Lakhs)</w:t>
            </w:r>
          </w:p>
        </w:tc>
        <w:tc>
          <w:tcPr>
            <w:tcW w:type="dxa" w:w="5184"/>
            <w:vAlign w:val="center"/>
          </w:tcPr>
          <w:p>
            <w:r>
              <w:rPr>
                <w:rFonts w:ascii="Arial" w:hAnsi="Arial"/>
                <w:sz w:val="16"/>
              </w:rPr>
              <w:t>8,743.00</w:t>
            </w:r>
          </w:p>
        </w:tc>
      </w:tr>
      <w:tr>
        <w:tc>
          <w:tcPr>
            <w:tcW w:type="dxa" w:w="5184"/>
            <w:vAlign w:val="center"/>
            <w:shd w:fill="F2F2F2"/>
            <w:shd w:fill="F2F2F2"/>
          </w:tcPr>
          <w:p>
            <w:r>
              <w:rPr>
                <w:rFonts w:ascii="Arial" w:hAnsi="Arial"/>
                <w:b/>
                <w:sz w:val="16"/>
              </w:rPr>
              <w:t>Less: Adjusted / Considered Liabilities (Rs. Lakhs)</w:t>
            </w:r>
          </w:p>
        </w:tc>
        <w:tc>
          <w:tcPr>
            <w:tcW w:type="dxa" w:w="5184"/>
            <w:vAlign w:val="center"/>
            <w:shd w:fill="F2F2F2"/>
          </w:tcPr>
          <w:p>
            <w:r>
              <w:rPr>
                <w:rFonts w:ascii="Arial" w:hAnsi="Arial"/>
                <w:sz w:val="16"/>
              </w:rPr>
              <w:t>4,205.00</w:t>
            </w:r>
          </w:p>
        </w:tc>
      </w:tr>
      <w:tr>
        <w:tc>
          <w:tcPr>
            <w:tcW w:type="dxa" w:w="5184"/>
            <w:vAlign w:val="center"/>
            <w:shd w:fill="F2F2F2"/>
          </w:tcPr>
          <w:p>
            <w:r>
              <w:rPr>
                <w:rFonts w:ascii="Arial" w:hAnsi="Arial"/>
                <w:b/>
                <w:sz w:val="16"/>
              </w:rPr>
              <w:t>Net Assets available to Equity Shareholders (Rs. Lakhs)</w:t>
            </w:r>
          </w:p>
        </w:tc>
        <w:tc>
          <w:tcPr>
            <w:tcW w:type="dxa" w:w="5184"/>
            <w:vAlign w:val="center"/>
          </w:tcPr>
          <w:p>
            <w:r>
              <w:rPr>
                <w:rFonts w:ascii="Arial" w:hAnsi="Arial"/>
                <w:sz w:val="16"/>
              </w:rPr>
              <w:t>4,538.00</w:t>
            </w:r>
          </w:p>
        </w:tc>
      </w:tr>
      <w:tr>
        <w:tc>
          <w:tcPr>
            <w:tcW w:type="dxa" w:w="5184"/>
            <w:vAlign w:val="center"/>
            <w:shd w:fill="F2F2F2"/>
            <w:shd w:fill="F2F2F2"/>
          </w:tcPr>
          <w:p>
            <w:r>
              <w:rPr>
                <w:rFonts w:ascii="Arial" w:hAnsi="Arial"/>
                <w:b/>
                <w:sz w:val="16"/>
              </w:rPr>
              <w:t>Fully Diluted Equity Shares</w:t>
            </w:r>
          </w:p>
        </w:tc>
        <w:tc>
          <w:tcPr>
            <w:tcW w:type="dxa" w:w="5184"/>
            <w:vAlign w:val="center"/>
            <w:shd w:fill="F2F2F2"/>
          </w:tcPr>
          <w:p>
            <w:r>
              <w:rPr>
                <w:rFonts w:ascii="Arial" w:hAnsi="Arial"/>
                <w:sz w:val="16"/>
              </w:rPr>
              <w:t>6,150,000</w:t>
            </w:r>
          </w:p>
        </w:tc>
      </w:tr>
      <w:tr>
        <w:tc>
          <w:tcPr>
            <w:tcW w:type="dxa" w:w="5184"/>
            <w:vAlign w:val="center"/>
            <w:shd w:fill="F2F2F2"/>
          </w:tcPr>
          <w:p>
            <w:r>
              <w:rPr>
                <w:rFonts w:ascii="Arial" w:hAnsi="Arial"/>
                <w:b/>
                <w:sz w:val="16"/>
              </w:rPr>
              <w:t>Value per Equity Share under NAV (Rs.)</w:t>
            </w:r>
          </w:p>
        </w:tc>
        <w:tc>
          <w:tcPr>
            <w:tcW w:type="dxa" w:w="5184"/>
            <w:vAlign w:val="center"/>
          </w:tcPr>
          <w:p>
            <w:r>
              <w:rPr>
                <w:rFonts w:ascii="Arial" w:hAnsi="Arial"/>
                <w:sz w:val="16"/>
              </w:rPr>
              <w:t>73.79</w:t>
            </w:r>
          </w:p>
        </w:tc>
      </w:tr>
    </w:tbl>
    <w:p>
      <w:r>
        <w:br w:type="page"/>
      </w:r>
    </w:p>
    <w:p>
      <w:pPr>
        <w:pStyle w:val="Heading1"/>
      </w:pPr>
      <w:r>
        <w:t>ANNEXURE C</w:t>
      </w:r>
    </w:p>
    <w:p>
      <w:pPr>
        <w:pStyle w:val="Heading1"/>
      </w:pPr>
      <w:r>
        <w:t>Weighted Average Cost of Capital - Working</w:t>
      </w:r>
    </w:p>
    <w:p>
      <w:pPr>
        <w:pStyle w:val="Heading2"/>
      </w:pPr>
      <w:r>
        <w:t>C.1 Cost of Equity</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203E6B"/>
            <w:vAlign w:val="center"/>
          </w:tcPr>
          <w:p>
            <w:pPr>
              <w:jc w:val="center"/>
            </w:pPr>
            <w:r>
              <w:rPr>
                <w:rFonts w:ascii="Arial" w:hAnsi="Arial"/>
                <w:b/>
                <w:color w:val="FFFFFF"/>
                <w:sz w:val="16"/>
              </w:rPr>
              <w:t>Particulars</w:t>
            </w:r>
          </w:p>
        </w:tc>
        <w:tc>
          <w:tcPr>
            <w:tcW w:type="dxa" w:w="3456"/>
            <w:shd w:fill="203E6B"/>
            <w:vAlign w:val="center"/>
          </w:tcPr>
          <w:p>
            <w:pPr>
              <w:jc w:val="center"/>
            </w:pPr>
            <w:r>
              <w:rPr>
                <w:rFonts w:ascii="Arial" w:hAnsi="Arial"/>
                <w:b/>
                <w:color w:val="FFFFFF"/>
                <w:sz w:val="16"/>
              </w:rPr>
              <w:t>Value</w:t>
            </w:r>
          </w:p>
        </w:tc>
        <w:tc>
          <w:tcPr>
            <w:tcW w:type="dxa" w:w="3456"/>
            <w:shd w:fill="203E6B"/>
            <w:vAlign w:val="center"/>
          </w:tcPr>
          <w:p>
            <w:pPr>
              <w:jc w:val="center"/>
            </w:pPr>
            <w:r>
              <w:rPr>
                <w:rFonts w:ascii="Arial" w:hAnsi="Arial"/>
                <w:b/>
                <w:color w:val="FFFFFF"/>
                <w:sz w:val="16"/>
              </w:rPr>
              <w:t>Basis / Source</w:t>
            </w:r>
          </w:p>
        </w:tc>
      </w:tr>
      <w:tr>
        <w:tc>
          <w:tcPr>
            <w:tcW w:type="dxa" w:w="3456"/>
            <w:vAlign w:val="center"/>
          </w:tcPr>
          <w:p>
            <w:r>
              <w:rPr>
                <w:rFonts w:ascii="Arial" w:hAnsi="Arial"/>
                <w:sz w:val="16"/>
              </w:rPr>
              <w:t>Risk-free Rate</w:t>
            </w:r>
          </w:p>
        </w:tc>
        <w:tc>
          <w:tcPr>
            <w:tcW w:type="dxa" w:w="3456"/>
            <w:vAlign w:val="center"/>
          </w:tcPr>
          <w:p>
            <w:r>
              <w:rPr>
                <w:rFonts w:ascii="Arial" w:hAnsi="Arial"/>
                <w:sz w:val="16"/>
              </w:rPr>
              <w:t>7.02%</w:t>
            </w:r>
          </w:p>
        </w:tc>
        <w:tc>
          <w:tcPr>
            <w:tcW w:type="dxa" w:w="3456"/>
            <w:vAlign w:val="center"/>
          </w:tcPr>
          <w:p>
            <w:r>
              <w:rPr>
                <w:rFonts w:ascii="Arial" w:hAnsi="Arial"/>
                <w:sz w:val="16"/>
              </w:rPr>
              <w:t>India 10-Year Government Bond historical yield - countryeconomy.com</w:t>
            </w:r>
          </w:p>
        </w:tc>
      </w:tr>
      <w:tr>
        <w:tc>
          <w:tcPr>
            <w:tcW w:type="dxa" w:w="3456"/>
            <w:vAlign w:val="center"/>
            <w:shd w:fill="F2F2F2"/>
          </w:tcPr>
          <w:p>
            <w:r>
              <w:rPr>
                <w:rFonts w:ascii="Arial" w:hAnsi="Arial"/>
                <w:sz w:val="16"/>
              </w:rPr>
              <w:t>Equity Risk Premium</w:t>
            </w:r>
          </w:p>
        </w:tc>
        <w:tc>
          <w:tcPr>
            <w:tcW w:type="dxa" w:w="3456"/>
            <w:vAlign w:val="center"/>
            <w:shd w:fill="F2F2F2"/>
          </w:tcPr>
          <w:p>
            <w:r>
              <w:rPr>
                <w:rFonts w:ascii="Arial" w:hAnsi="Arial"/>
                <w:sz w:val="16"/>
              </w:rPr>
              <w:t>7.27%</w:t>
            </w:r>
          </w:p>
        </w:tc>
        <w:tc>
          <w:tcPr>
            <w:tcW w:type="dxa" w:w="3456"/>
            <w:vAlign w:val="center"/>
            <w:shd w:fill="F2F2F2"/>
          </w:tcPr>
          <w:p>
            <w:r>
              <w:rPr>
                <w:rFonts w:ascii="Arial" w:hAnsi="Arial"/>
                <w:sz w:val="16"/>
              </w:rPr>
              <w:t>Aswath Damodaran - Country Risk Premiums, India</w:t>
            </w:r>
          </w:p>
        </w:tc>
      </w:tr>
      <w:tr>
        <w:tc>
          <w:tcPr>
            <w:tcW w:type="dxa" w:w="3456"/>
            <w:vAlign w:val="center"/>
          </w:tcPr>
          <w:p>
            <w:r>
              <w:rPr>
                <w:rFonts w:ascii="Arial" w:hAnsi="Arial"/>
                <w:sz w:val="16"/>
              </w:rPr>
              <w:t>Levered Beta</w:t>
            </w:r>
          </w:p>
        </w:tc>
        <w:tc>
          <w:tcPr>
            <w:tcW w:type="dxa" w:w="3456"/>
            <w:vAlign w:val="center"/>
          </w:tcPr>
          <w:p>
            <w:r>
              <w:rPr>
                <w:rFonts w:ascii="Arial" w:hAnsi="Arial"/>
                <w:sz w:val="16"/>
              </w:rPr>
              <w:t>0.97</w:t>
            </w:r>
          </w:p>
        </w:tc>
        <w:tc>
          <w:tcPr>
            <w:tcW w:type="dxa" w:w="3456"/>
            <w:vAlign w:val="center"/>
          </w:tcPr>
          <w:p>
            <w:r>
              <w:rPr>
                <w:rFonts w:ascii="Arial" w:hAnsi="Arial"/>
                <w:sz w:val="16"/>
              </w:rPr>
              <w:t>Aswath Damodaran - Betas by Sector (Global), Furn/Home Furnishings</w:t>
            </w:r>
          </w:p>
        </w:tc>
      </w:tr>
      <w:tr>
        <w:tc>
          <w:tcPr>
            <w:tcW w:type="dxa" w:w="3456"/>
            <w:vAlign w:val="center"/>
            <w:shd w:fill="F2F2F2"/>
          </w:tcPr>
          <w:p>
            <w:r>
              <w:rPr>
                <w:rFonts w:ascii="Arial" w:hAnsi="Arial"/>
                <w:sz w:val="16"/>
              </w:rPr>
              <w:t>Company-specific Risk Premium</w:t>
            </w:r>
          </w:p>
        </w:tc>
        <w:tc>
          <w:tcPr>
            <w:tcW w:type="dxa" w:w="3456"/>
            <w:vAlign w:val="center"/>
            <w:shd w:fill="F2F2F2"/>
          </w:tcPr>
          <w:p>
            <w:r>
              <w:rPr>
                <w:rFonts w:ascii="Arial" w:hAnsi="Arial"/>
                <w:sz w:val="16"/>
              </w:rPr>
              <w:t>0.00%</w:t>
            </w:r>
          </w:p>
        </w:tc>
        <w:tc>
          <w:tcPr>
            <w:tcW w:type="dxa" w:w="3456"/>
            <w:vAlign w:val="center"/>
            <w:shd w:fill="F2F2F2"/>
          </w:tcPr>
          <w:p>
            <w:r>
              <w:rPr>
                <w:rFonts w:ascii="Arial" w:hAnsi="Arial"/>
                <w:sz w:val="16"/>
              </w:rPr>
              <w:t>Valuer judgement</w:t>
            </w:r>
          </w:p>
        </w:tc>
      </w:tr>
      <w:tr>
        <w:tc>
          <w:tcPr>
            <w:tcW w:type="dxa" w:w="3456"/>
            <w:vAlign w:val="center"/>
          </w:tcPr>
          <w:p>
            <w:r>
              <w:rPr>
                <w:rFonts w:ascii="Arial" w:hAnsi="Arial"/>
                <w:sz w:val="16"/>
              </w:rPr>
              <w:t>Cost of Equity</w:t>
            </w:r>
          </w:p>
        </w:tc>
        <w:tc>
          <w:tcPr>
            <w:tcW w:type="dxa" w:w="3456"/>
            <w:vAlign w:val="center"/>
          </w:tcPr>
          <w:p>
            <w:r>
              <w:rPr>
                <w:rFonts w:ascii="Arial" w:hAnsi="Arial"/>
                <w:sz w:val="16"/>
              </w:rPr>
              <w:t>14.07%</w:t>
            </w:r>
          </w:p>
        </w:tc>
        <w:tc>
          <w:tcPr>
            <w:tcW w:type="dxa" w:w="3456"/>
            <w:vAlign w:val="center"/>
          </w:tcPr>
          <w:p>
            <w:r>
              <w:rPr>
                <w:rFonts w:ascii="Arial" w:hAnsi="Arial"/>
                <w:sz w:val="16"/>
              </w:rPr>
              <w:t>Rf + Beta x ERP + CSRP</w:t>
            </w:r>
          </w:p>
        </w:tc>
      </w:tr>
    </w:tbl>
    <w:p>
      <w:pPr>
        <w:pStyle w:val="Heading2"/>
      </w:pPr>
      <w:r>
        <w:t>C.2 Cost of Debt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203E6B"/>
            <w:vAlign w:val="center"/>
          </w:tcPr>
          <w:p>
            <w:pPr>
              <w:jc w:val="center"/>
            </w:pPr>
            <w:r>
              <w:rPr>
                <w:rFonts w:ascii="Arial" w:hAnsi="Arial"/>
                <w:b/>
                <w:color w:val="FFFFFF"/>
                <w:sz w:val="16"/>
              </w:rPr>
              <w:t>Particulars</w:t>
            </w:r>
          </w:p>
        </w:tc>
        <w:tc>
          <w:tcPr>
            <w:tcW w:type="dxa" w:w="3456"/>
            <w:shd w:fill="203E6B"/>
            <w:vAlign w:val="center"/>
          </w:tcPr>
          <w:p>
            <w:pPr>
              <w:jc w:val="center"/>
            </w:pPr>
            <w:r>
              <w:rPr>
                <w:rFonts w:ascii="Arial" w:hAnsi="Arial"/>
                <w:b/>
                <w:color w:val="FFFFFF"/>
                <w:sz w:val="16"/>
              </w:rPr>
              <w:t>Value</w:t>
            </w:r>
          </w:p>
        </w:tc>
        <w:tc>
          <w:tcPr>
            <w:tcW w:type="dxa" w:w="3456"/>
            <w:shd w:fill="203E6B"/>
            <w:vAlign w:val="center"/>
          </w:tcPr>
          <w:p>
            <w:pPr>
              <w:jc w:val="center"/>
            </w:pPr>
            <w:r>
              <w:rPr>
                <w:rFonts w:ascii="Arial" w:hAnsi="Arial"/>
                <w:b/>
                <w:color w:val="FFFFFF"/>
                <w:sz w:val="16"/>
              </w:rPr>
              <w:t>Basis / Source</w:t>
            </w:r>
          </w:p>
        </w:tc>
      </w:tr>
      <w:tr>
        <w:tc>
          <w:tcPr>
            <w:tcW w:type="dxa" w:w="3456"/>
            <w:vAlign w:val="center"/>
          </w:tcPr>
          <w:p>
            <w:r>
              <w:rPr>
                <w:rFonts w:ascii="Arial" w:hAnsi="Arial"/>
                <w:sz w:val="16"/>
              </w:rPr>
              <w:t>Pre-tax Cost of Debt</w:t>
            </w:r>
          </w:p>
        </w:tc>
        <w:tc>
          <w:tcPr>
            <w:tcW w:type="dxa" w:w="3456"/>
            <w:vAlign w:val="center"/>
          </w:tcPr>
          <w:p>
            <w:r>
              <w:rPr>
                <w:rFonts w:ascii="Arial" w:hAnsi="Arial"/>
                <w:sz w:val="16"/>
              </w:rPr>
              <w:t>14.04%</w:t>
            </w:r>
          </w:p>
        </w:tc>
        <w:tc>
          <w:tcPr>
            <w:tcW w:type="dxa" w:w="3456"/>
            <w:vAlign w:val="center"/>
          </w:tcPr>
          <w:p>
            <w:r>
              <w:rPr>
                <w:rFonts w:ascii="Arial" w:hAnsi="Arial"/>
                <w:sz w:val="16"/>
              </w:rPr>
              <w:t>Derived from extracted audited financial statements</w:t>
            </w:r>
          </w:p>
        </w:tc>
      </w:tr>
      <w:tr>
        <w:tc>
          <w:tcPr>
            <w:tcW w:type="dxa" w:w="3456"/>
            <w:vAlign w:val="center"/>
            <w:shd w:fill="F2F2F2"/>
          </w:tcPr>
          <w:p>
            <w:r>
              <w:rPr>
                <w:rFonts w:ascii="Arial" w:hAnsi="Arial"/>
                <w:sz w:val="16"/>
              </w:rPr>
              <w:t>Corporate Tax Rate</w:t>
            </w:r>
          </w:p>
        </w:tc>
        <w:tc>
          <w:tcPr>
            <w:tcW w:type="dxa" w:w="3456"/>
            <w:vAlign w:val="center"/>
            <w:shd w:fill="F2F2F2"/>
          </w:tcPr>
          <w:p>
            <w:r>
              <w:rPr>
                <w:rFonts w:ascii="Arial" w:hAnsi="Arial"/>
                <w:sz w:val="16"/>
              </w:rPr>
              <w:t>25.00%</w:t>
            </w:r>
          </w:p>
        </w:tc>
        <w:tc>
          <w:tcPr>
            <w:tcW w:type="dxa" w:w="3456"/>
            <w:vAlign w:val="center"/>
            <w:shd w:fill="F2F2F2"/>
          </w:tcPr>
          <w:p>
            <w:r>
              <w:rPr>
                <w:rFonts w:ascii="Arial" w:hAnsi="Arial"/>
                <w:sz w:val="16"/>
              </w:rPr>
              <w:t>Selected / applicable rate</w:t>
            </w:r>
          </w:p>
        </w:tc>
      </w:tr>
      <w:tr>
        <w:tc>
          <w:tcPr>
            <w:tcW w:type="dxa" w:w="3456"/>
            <w:vAlign w:val="center"/>
          </w:tcPr>
          <w:p>
            <w:r>
              <w:rPr>
                <w:rFonts w:ascii="Arial" w:hAnsi="Arial"/>
                <w:sz w:val="16"/>
              </w:rPr>
              <w:t>Post-tax Cost of Debt</w:t>
            </w:r>
          </w:p>
        </w:tc>
        <w:tc>
          <w:tcPr>
            <w:tcW w:type="dxa" w:w="3456"/>
            <w:vAlign w:val="center"/>
          </w:tcPr>
          <w:p>
            <w:r>
              <w:rPr>
                <w:rFonts w:ascii="Arial" w:hAnsi="Arial"/>
                <w:sz w:val="16"/>
              </w:rPr>
              <w:t>10.53%</w:t>
            </w:r>
          </w:p>
        </w:tc>
        <w:tc>
          <w:tcPr>
            <w:tcW w:type="dxa" w:w="3456"/>
            <w:vAlign w:val="center"/>
          </w:tcPr>
          <w:p>
            <w:r>
              <w:rPr>
                <w:rFonts w:ascii="Arial" w:hAnsi="Arial"/>
                <w:sz w:val="16"/>
              </w:rPr>
              <w:t>Kd x (1-t)</w:t>
            </w:r>
          </w:p>
        </w:tc>
      </w:tr>
    </w:tbl>
    <w:p>
      <w:pPr>
        <w:pStyle w:val="Heading2"/>
      </w:pPr>
      <w:r>
        <w:t>C.3 Capital Structure and WACC</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203E6B"/>
            <w:vAlign w:val="center"/>
          </w:tcPr>
          <w:p>
            <w:pPr>
              <w:jc w:val="center"/>
            </w:pPr>
            <w:r>
              <w:rPr>
                <w:rFonts w:ascii="Arial" w:hAnsi="Arial"/>
                <w:b/>
                <w:color w:val="FFFFFF"/>
                <w:sz w:val="16"/>
              </w:rPr>
              <w:t>Particulars</w:t>
            </w:r>
          </w:p>
        </w:tc>
        <w:tc>
          <w:tcPr>
            <w:tcW w:type="dxa" w:w="5184"/>
            <w:shd w:fill="203E6B"/>
            <w:vAlign w:val="center"/>
          </w:tcPr>
          <w:p>
            <w:pPr>
              <w:jc w:val="center"/>
            </w:pPr>
            <w:r>
              <w:rPr>
                <w:rFonts w:ascii="Arial" w:hAnsi="Arial"/>
                <w:b/>
                <w:color w:val="FFFFFF"/>
                <w:sz w:val="16"/>
              </w:rPr>
              <w:t>Value / Details</w:t>
            </w:r>
          </w:p>
        </w:tc>
      </w:tr>
      <w:tr>
        <w:tc>
          <w:tcPr>
            <w:tcW w:type="dxa" w:w="5184"/>
            <w:vAlign w:val="center"/>
            <w:shd w:fill="F2F2F2"/>
          </w:tcPr>
          <w:p>
            <w:r>
              <w:rPr>
                <w:rFonts w:ascii="Arial" w:hAnsi="Arial"/>
                <w:b/>
                <w:sz w:val="16"/>
              </w:rPr>
              <w:t>Weight of Debt</w:t>
            </w:r>
          </w:p>
        </w:tc>
        <w:tc>
          <w:tcPr>
            <w:tcW w:type="dxa" w:w="5184"/>
            <w:vAlign w:val="center"/>
          </w:tcPr>
          <w:p>
            <w:r>
              <w:rPr>
                <w:rFonts w:ascii="Arial" w:hAnsi="Arial"/>
                <w:sz w:val="16"/>
              </w:rPr>
              <w:t>33.25%</w:t>
            </w:r>
          </w:p>
        </w:tc>
      </w:tr>
      <w:tr>
        <w:tc>
          <w:tcPr>
            <w:tcW w:type="dxa" w:w="5184"/>
            <w:vAlign w:val="center"/>
            <w:shd w:fill="F2F2F2"/>
            <w:shd w:fill="F2F2F2"/>
          </w:tcPr>
          <w:p>
            <w:r>
              <w:rPr>
                <w:rFonts w:ascii="Arial" w:hAnsi="Arial"/>
                <w:b/>
                <w:sz w:val="16"/>
              </w:rPr>
              <w:t>Weight of Equity</w:t>
            </w:r>
          </w:p>
        </w:tc>
        <w:tc>
          <w:tcPr>
            <w:tcW w:type="dxa" w:w="5184"/>
            <w:vAlign w:val="center"/>
            <w:shd w:fill="F2F2F2"/>
          </w:tcPr>
          <w:p>
            <w:r>
              <w:rPr>
                <w:rFonts w:ascii="Arial" w:hAnsi="Arial"/>
                <w:sz w:val="16"/>
              </w:rPr>
              <w:t>66.75%</w:t>
            </w:r>
          </w:p>
        </w:tc>
      </w:tr>
      <w:tr>
        <w:tc>
          <w:tcPr>
            <w:tcW w:type="dxa" w:w="5184"/>
            <w:vAlign w:val="center"/>
            <w:shd w:fill="F2F2F2"/>
          </w:tcPr>
          <w:p>
            <w:r>
              <w:rPr>
                <w:rFonts w:ascii="Arial" w:hAnsi="Arial"/>
                <w:b/>
                <w:sz w:val="16"/>
              </w:rPr>
              <w:t>WACC</w:t>
            </w:r>
          </w:p>
        </w:tc>
        <w:tc>
          <w:tcPr>
            <w:tcW w:type="dxa" w:w="5184"/>
            <w:vAlign w:val="center"/>
          </w:tcPr>
          <w:p>
            <w:r>
              <w:rPr>
                <w:rFonts w:ascii="Arial" w:hAnsi="Arial"/>
                <w:sz w:val="16"/>
              </w:rPr>
              <w:t>15.00%</w:t>
            </w:r>
          </w:p>
        </w:tc>
      </w:tr>
      <w:tr>
        <w:tc>
          <w:tcPr>
            <w:tcW w:type="dxa" w:w="5184"/>
            <w:vAlign w:val="center"/>
            <w:shd w:fill="F2F2F2"/>
            <w:shd w:fill="F2F2F2"/>
          </w:tcPr>
          <w:p>
            <w:r>
              <w:rPr>
                <w:rFonts w:ascii="Arial" w:hAnsi="Arial"/>
                <w:b/>
                <w:sz w:val="16"/>
              </w:rPr>
              <w:t>Terminal Growth Rate</w:t>
            </w:r>
          </w:p>
        </w:tc>
        <w:tc>
          <w:tcPr>
            <w:tcW w:type="dxa" w:w="5184"/>
            <w:vAlign w:val="center"/>
            <w:shd w:fill="F2F2F2"/>
          </w:tcPr>
          <w:p>
            <w:r>
              <w:rPr>
                <w:rFonts w:ascii="Arial" w:hAnsi="Arial"/>
                <w:sz w:val="16"/>
              </w:rPr>
              <w:t>5.00%</w:t>
            </w:r>
          </w:p>
        </w:tc>
      </w:tr>
    </w:tbl>
    <w:p>
      <w:r>
        <w:br w:type="page"/>
      </w:r>
    </w:p>
    <w:p>
      <w:pPr>
        <w:pStyle w:val="Heading1"/>
      </w:pPr>
      <w:r>
        <w:t>ANNEXURE D</w:t>
      </w:r>
    </w:p>
    <w:p>
      <w:pPr>
        <w:pStyle w:val="Heading1"/>
      </w:pPr>
      <w:r>
        <w:t>Historical and Projected Financial Statements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296"/>
            <w:shd w:fill="203E6B"/>
            <w:vAlign w:val="center"/>
          </w:tcPr>
          <w:p>
            <w:pPr>
              <w:jc w:val="center"/>
            </w:pPr>
            <w:r>
              <w:rPr>
                <w:rFonts w:ascii="Arial" w:hAnsi="Arial"/>
                <w:b/>
                <w:color w:val="FFFFFF"/>
                <w:sz w:val="16"/>
              </w:rPr>
              <w:t>Period</w:t>
            </w:r>
          </w:p>
        </w:tc>
        <w:tc>
          <w:tcPr>
            <w:tcW w:type="dxa" w:w="1296"/>
            <w:shd w:fill="203E6B"/>
            <w:vAlign w:val="center"/>
          </w:tcPr>
          <w:p>
            <w:pPr>
              <w:jc w:val="center"/>
            </w:pPr>
            <w:r>
              <w:rPr>
                <w:rFonts w:ascii="Arial" w:hAnsi="Arial"/>
                <w:b/>
                <w:color w:val="FFFFFF"/>
                <w:sz w:val="16"/>
              </w:rPr>
              <w:t>Revenue</w:t>
            </w:r>
          </w:p>
        </w:tc>
        <w:tc>
          <w:tcPr>
            <w:tcW w:type="dxa" w:w="1296"/>
            <w:shd w:fill="203E6B"/>
            <w:vAlign w:val="center"/>
          </w:tcPr>
          <w:p>
            <w:pPr>
              <w:jc w:val="center"/>
            </w:pPr>
            <w:r>
              <w:rPr>
                <w:rFonts w:ascii="Arial" w:hAnsi="Arial"/>
                <w:b/>
                <w:color w:val="FFFFFF"/>
                <w:sz w:val="16"/>
              </w:rPr>
              <w:t>EBITDA</w:t>
            </w:r>
          </w:p>
        </w:tc>
        <w:tc>
          <w:tcPr>
            <w:tcW w:type="dxa" w:w="1296"/>
            <w:shd w:fill="203E6B"/>
            <w:vAlign w:val="center"/>
          </w:tcPr>
          <w:p>
            <w:pPr>
              <w:jc w:val="center"/>
            </w:pPr>
            <w:r>
              <w:rPr>
                <w:rFonts w:ascii="Arial" w:hAnsi="Arial"/>
                <w:b/>
                <w:color w:val="FFFFFF"/>
                <w:sz w:val="16"/>
              </w:rPr>
              <w:t>EBITDA %</w:t>
            </w:r>
          </w:p>
        </w:tc>
        <w:tc>
          <w:tcPr>
            <w:tcW w:type="dxa" w:w="1296"/>
            <w:shd w:fill="203E6B"/>
            <w:vAlign w:val="center"/>
          </w:tcPr>
          <w:p>
            <w:pPr>
              <w:jc w:val="center"/>
            </w:pPr>
            <w:r>
              <w:rPr>
                <w:rFonts w:ascii="Arial" w:hAnsi="Arial"/>
                <w:b/>
                <w:color w:val="FFFFFF"/>
                <w:sz w:val="16"/>
              </w:rPr>
              <w:t>EBIT</w:t>
            </w:r>
          </w:p>
        </w:tc>
        <w:tc>
          <w:tcPr>
            <w:tcW w:type="dxa" w:w="1296"/>
            <w:shd w:fill="203E6B"/>
            <w:vAlign w:val="center"/>
          </w:tcPr>
          <w:p>
            <w:pPr>
              <w:jc w:val="center"/>
            </w:pPr>
            <w:r>
              <w:rPr>
                <w:rFonts w:ascii="Arial" w:hAnsi="Arial"/>
                <w:b/>
                <w:color w:val="FFFFFF"/>
                <w:sz w:val="16"/>
              </w:rPr>
              <w:t>PAT</w:t>
            </w:r>
          </w:p>
        </w:tc>
        <w:tc>
          <w:tcPr>
            <w:tcW w:type="dxa" w:w="1296"/>
            <w:shd w:fill="203E6B"/>
            <w:vAlign w:val="center"/>
          </w:tcPr>
          <w:p>
            <w:pPr>
              <w:jc w:val="center"/>
            </w:pPr>
            <w:r>
              <w:rPr>
                <w:rFonts w:ascii="Arial" w:hAnsi="Arial"/>
                <w:b/>
                <w:color w:val="FFFFFF"/>
                <w:sz w:val="16"/>
              </w:rPr>
              <w:t>Capex</w:t>
            </w:r>
          </w:p>
        </w:tc>
        <w:tc>
          <w:tcPr>
            <w:tcW w:type="dxa" w:w="1296"/>
            <w:shd w:fill="203E6B"/>
            <w:vAlign w:val="center"/>
          </w:tcPr>
          <w:p>
            <w:pPr>
              <w:jc w:val="center"/>
            </w:pPr>
            <w:r>
              <w:rPr>
                <w:rFonts w:ascii="Arial" w:hAnsi="Arial"/>
                <w:b/>
                <w:color w:val="FFFFFF"/>
                <w:sz w:val="16"/>
              </w:rPr>
              <w:t>Change in WC</w:t>
            </w:r>
          </w:p>
        </w:tc>
      </w:tr>
      <w:tr>
        <w:tc>
          <w:tcPr>
            <w:tcW w:type="dxa" w:w="1296"/>
            <w:vAlign w:val="center"/>
          </w:tcPr>
          <w:p>
            <w:r>
              <w:rPr>
                <w:rFonts w:ascii="Arial" w:hAnsi="Arial"/>
                <w:sz w:val="16"/>
              </w:rPr>
              <w:t>FY 2023-24</w:t>
            </w:r>
          </w:p>
        </w:tc>
        <w:tc>
          <w:tcPr>
            <w:tcW w:type="dxa" w:w="1296"/>
            <w:vAlign w:val="center"/>
          </w:tcPr>
          <w:p>
            <w:r>
              <w:rPr>
                <w:rFonts w:ascii="Arial" w:hAnsi="Arial"/>
                <w:sz w:val="16"/>
              </w:rPr>
              <w:t>8,200.00</w:t>
            </w:r>
          </w:p>
        </w:tc>
        <w:tc>
          <w:tcPr>
            <w:tcW w:type="dxa" w:w="1296"/>
            <w:vAlign w:val="center"/>
          </w:tcPr>
          <w:p>
            <w:r>
              <w:rPr>
                <w:rFonts w:ascii="Arial" w:hAnsi="Arial"/>
                <w:sz w:val="16"/>
              </w:rPr>
              <w:t>1,220.00</w:t>
            </w:r>
          </w:p>
        </w:tc>
        <w:tc>
          <w:tcPr>
            <w:tcW w:type="dxa" w:w="1296"/>
            <w:vAlign w:val="center"/>
          </w:tcPr>
          <w:p>
            <w:r>
              <w:rPr>
                <w:rFonts w:ascii="Arial" w:hAnsi="Arial"/>
                <w:sz w:val="16"/>
              </w:rPr>
              <w:t>14.88%</w:t>
            </w:r>
          </w:p>
        </w:tc>
        <w:tc>
          <w:tcPr>
            <w:tcW w:type="dxa" w:w="1296"/>
            <w:vAlign w:val="center"/>
          </w:tcPr>
          <w:p>
            <w:r>
              <w:rPr>
                <w:rFonts w:ascii="Arial" w:hAnsi="Arial"/>
                <w:sz w:val="16"/>
              </w:rPr>
              <w:t>935.00</w:t>
            </w:r>
          </w:p>
        </w:tc>
        <w:tc>
          <w:tcPr>
            <w:tcW w:type="dxa" w:w="1296"/>
            <w:vAlign w:val="center"/>
          </w:tcPr>
          <w:p>
            <w:r>
              <w:rPr>
                <w:rFonts w:ascii="Arial" w:hAnsi="Arial"/>
                <w:sz w:val="16"/>
              </w:rPr>
              <w:t>522.00</w:t>
            </w:r>
          </w:p>
        </w:tc>
        <w:tc>
          <w:tcPr>
            <w:tcW w:type="dxa" w:w="1296"/>
            <w:vAlign w:val="center"/>
          </w:tcPr>
          <w:p>
            <w:r>
              <w:rPr>
                <w:rFonts w:ascii="Arial" w:hAnsi="Arial"/>
                <w:sz w:val="16"/>
              </w:rPr>
            </w:r>
          </w:p>
        </w:tc>
        <w:tc>
          <w:tcPr>
            <w:tcW w:type="dxa" w:w="1296"/>
            <w:vAlign w:val="center"/>
          </w:tcPr>
          <w:p>
            <w:r>
              <w:rPr>
                <w:rFonts w:ascii="Arial" w:hAnsi="Arial"/>
                <w:sz w:val="16"/>
              </w:rPr>
            </w:r>
          </w:p>
        </w:tc>
      </w:tr>
      <w:tr>
        <w:tc>
          <w:tcPr>
            <w:tcW w:type="dxa" w:w="1296"/>
            <w:vAlign w:val="center"/>
            <w:shd w:fill="F2F2F2"/>
          </w:tcPr>
          <w:p>
            <w:r>
              <w:rPr>
                <w:rFonts w:ascii="Arial" w:hAnsi="Arial"/>
                <w:sz w:val="16"/>
              </w:rPr>
              <w:t>FY 2024-25</w:t>
            </w:r>
          </w:p>
        </w:tc>
        <w:tc>
          <w:tcPr>
            <w:tcW w:type="dxa" w:w="1296"/>
            <w:vAlign w:val="center"/>
            <w:shd w:fill="F2F2F2"/>
          </w:tcPr>
          <w:p>
            <w:r>
              <w:rPr>
                <w:rFonts w:ascii="Arial" w:hAnsi="Arial"/>
                <w:sz w:val="16"/>
              </w:rPr>
              <w:t>9,650.00</w:t>
            </w:r>
          </w:p>
        </w:tc>
        <w:tc>
          <w:tcPr>
            <w:tcW w:type="dxa" w:w="1296"/>
            <w:vAlign w:val="center"/>
            <w:shd w:fill="F2F2F2"/>
          </w:tcPr>
          <w:p>
            <w:r>
              <w:rPr>
                <w:rFonts w:ascii="Arial" w:hAnsi="Arial"/>
                <w:sz w:val="16"/>
              </w:rPr>
              <w:t>1,225.00</w:t>
            </w:r>
          </w:p>
        </w:tc>
        <w:tc>
          <w:tcPr>
            <w:tcW w:type="dxa" w:w="1296"/>
            <w:vAlign w:val="center"/>
            <w:shd w:fill="F2F2F2"/>
          </w:tcPr>
          <w:p>
            <w:r>
              <w:rPr>
                <w:rFonts w:ascii="Arial" w:hAnsi="Arial"/>
                <w:sz w:val="16"/>
              </w:rPr>
              <w:t>12.69%</w:t>
            </w:r>
          </w:p>
        </w:tc>
        <w:tc>
          <w:tcPr>
            <w:tcW w:type="dxa" w:w="1296"/>
            <w:vAlign w:val="center"/>
            <w:shd w:fill="F2F2F2"/>
          </w:tcPr>
          <w:p>
            <w:r>
              <w:rPr>
                <w:rFonts w:ascii="Arial" w:hAnsi="Arial"/>
                <w:sz w:val="16"/>
              </w:rPr>
              <w:t>915.00</w:t>
            </w:r>
          </w:p>
        </w:tc>
        <w:tc>
          <w:tcPr>
            <w:tcW w:type="dxa" w:w="1296"/>
            <w:vAlign w:val="center"/>
            <w:shd w:fill="F2F2F2"/>
          </w:tcPr>
          <w:p>
            <w:r>
              <w:rPr>
                <w:rFonts w:ascii="Arial" w:hAnsi="Arial"/>
                <w:sz w:val="16"/>
              </w:rPr>
              <w:t>478.00</w:t>
            </w:r>
          </w:p>
        </w:tc>
        <w:tc>
          <w:tcPr>
            <w:tcW w:type="dxa" w:w="1296"/>
            <w:vAlign w:val="center"/>
            <w:shd w:fill="F2F2F2"/>
          </w:tcPr>
          <w:p>
            <w:r>
              <w:rPr>
                <w:rFonts w:ascii="Arial" w:hAnsi="Arial"/>
                <w:sz w:val="16"/>
              </w:rPr>
            </w:r>
          </w:p>
        </w:tc>
        <w:tc>
          <w:tcPr>
            <w:tcW w:type="dxa" w:w="1296"/>
            <w:vAlign w:val="center"/>
            <w:shd w:fill="F2F2F2"/>
          </w:tcPr>
          <w:p>
            <w:r>
              <w:rPr>
                <w:rFonts w:ascii="Arial" w:hAnsi="Arial"/>
                <w:sz w:val="16"/>
              </w:rPr>
            </w:r>
          </w:p>
        </w:tc>
      </w:tr>
      <w:tr>
        <w:tc>
          <w:tcPr>
            <w:tcW w:type="dxa" w:w="1296"/>
            <w:vAlign w:val="center"/>
          </w:tcPr>
          <w:p>
            <w:r>
              <w:rPr>
                <w:rFonts w:ascii="Arial" w:hAnsi="Arial"/>
                <w:sz w:val="16"/>
              </w:rPr>
              <w:t>FY 2025-26</w:t>
            </w:r>
          </w:p>
        </w:tc>
        <w:tc>
          <w:tcPr>
            <w:tcW w:type="dxa" w:w="1296"/>
            <w:vAlign w:val="center"/>
          </w:tcPr>
          <w:p>
            <w:r>
              <w:rPr>
                <w:rFonts w:ascii="Arial" w:hAnsi="Arial"/>
                <w:sz w:val="16"/>
              </w:rPr>
              <w:t>11,400.00</w:t>
            </w:r>
          </w:p>
        </w:tc>
        <w:tc>
          <w:tcPr>
            <w:tcW w:type="dxa" w:w="1296"/>
            <w:vAlign w:val="center"/>
          </w:tcPr>
          <w:p>
            <w:r>
              <w:rPr>
                <w:rFonts w:ascii="Arial" w:hAnsi="Arial"/>
                <w:sz w:val="16"/>
              </w:rPr>
              <w:t>1,560.00</w:t>
            </w:r>
          </w:p>
        </w:tc>
        <w:tc>
          <w:tcPr>
            <w:tcW w:type="dxa" w:w="1296"/>
            <w:vAlign w:val="center"/>
          </w:tcPr>
          <w:p>
            <w:r>
              <w:rPr>
                <w:rFonts w:ascii="Arial" w:hAnsi="Arial"/>
                <w:sz w:val="16"/>
              </w:rPr>
              <w:t>13.68%</w:t>
            </w:r>
          </w:p>
        </w:tc>
        <w:tc>
          <w:tcPr>
            <w:tcW w:type="dxa" w:w="1296"/>
            <w:vAlign w:val="center"/>
          </w:tcPr>
          <w:p>
            <w:r>
              <w:rPr>
                <w:rFonts w:ascii="Arial" w:hAnsi="Arial"/>
                <w:sz w:val="16"/>
              </w:rPr>
              <w:t>1,200.00</w:t>
            </w:r>
          </w:p>
        </w:tc>
        <w:tc>
          <w:tcPr>
            <w:tcW w:type="dxa" w:w="1296"/>
            <w:vAlign w:val="center"/>
          </w:tcPr>
          <w:p>
            <w:r>
              <w:rPr>
                <w:rFonts w:ascii="Arial" w:hAnsi="Arial"/>
                <w:sz w:val="16"/>
              </w:rPr>
              <w:t>695.00</w:t>
            </w:r>
          </w:p>
        </w:tc>
        <w:tc>
          <w:tcPr>
            <w:tcW w:type="dxa" w:w="1296"/>
            <w:vAlign w:val="center"/>
          </w:tcPr>
          <w:p>
            <w:r>
              <w:rPr>
                <w:rFonts w:ascii="Arial" w:hAnsi="Arial"/>
                <w:sz w:val="16"/>
              </w:rPr>
            </w:r>
          </w:p>
        </w:tc>
        <w:tc>
          <w:tcPr>
            <w:tcW w:type="dxa" w:w="1296"/>
            <w:vAlign w:val="center"/>
          </w:tcPr>
          <w:p>
            <w:r>
              <w:rPr>
                <w:rFonts w:ascii="Arial" w:hAnsi="Arial"/>
                <w:sz w:val="16"/>
              </w:rPr>
            </w:r>
          </w:p>
        </w:tc>
      </w:tr>
      <w:tr>
        <w:tc>
          <w:tcPr>
            <w:tcW w:type="dxa" w:w="1296"/>
            <w:vAlign w:val="center"/>
            <w:shd w:fill="F2F2F2"/>
          </w:tcPr>
          <w:p>
            <w:r>
              <w:rPr>
                <w:rFonts w:ascii="Arial" w:hAnsi="Arial"/>
                <w:sz w:val="16"/>
              </w:rPr>
              <w:t>FY 2026-27</w:t>
            </w:r>
          </w:p>
        </w:tc>
        <w:tc>
          <w:tcPr>
            <w:tcW w:type="dxa" w:w="1296"/>
            <w:vAlign w:val="center"/>
            <w:shd w:fill="F2F2F2"/>
          </w:tcPr>
          <w:p>
            <w:r>
              <w:rPr>
                <w:rFonts w:ascii="Arial" w:hAnsi="Arial"/>
                <w:sz w:val="16"/>
              </w:rPr>
              <w:t>13,452.00</w:t>
            </w:r>
          </w:p>
        </w:tc>
        <w:tc>
          <w:tcPr>
            <w:tcW w:type="dxa" w:w="1296"/>
            <w:vAlign w:val="center"/>
            <w:shd w:fill="F2F2F2"/>
          </w:tcPr>
          <w:p>
            <w:r>
              <w:rPr>
                <w:rFonts w:ascii="Arial" w:hAnsi="Arial"/>
                <w:sz w:val="16"/>
              </w:rPr>
              <w:t>1,869.83</w:t>
            </w:r>
          </w:p>
        </w:tc>
        <w:tc>
          <w:tcPr>
            <w:tcW w:type="dxa" w:w="1296"/>
            <w:vAlign w:val="center"/>
            <w:shd w:fill="F2F2F2"/>
          </w:tcPr>
          <w:p>
            <w:r>
              <w:rPr>
                <w:rFonts w:ascii="Arial" w:hAnsi="Arial"/>
                <w:sz w:val="16"/>
              </w:rPr>
              <w:t>13.90%</w:t>
            </w:r>
          </w:p>
        </w:tc>
        <w:tc>
          <w:tcPr>
            <w:tcW w:type="dxa" w:w="1296"/>
            <w:vAlign w:val="center"/>
            <w:shd w:fill="F2F2F2"/>
          </w:tcPr>
          <w:p>
            <w:r>
              <w:rPr>
                <w:rFonts w:ascii="Arial" w:hAnsi="Arial"/>
                <w:sz w:val="16"/>
              </w:rPr>
              <w:t>1,450.95</w:t>
            </w:r>
          </w:p>
        </w:tc>
        <w:tc>
          <w:tcPr>
            <w:tcW w:type="dxa" w:w="1296"/>
            <w:vAlign w:val="center"/>
            <w:shd w:fill="F2F2F2"/>
          </w:tcPr>
          <w:p>
            <w:r>
              <w:rPr>
                <w:rFonts w:ascii="Arial" w:hAnsi="Arial"/>
                <w:sz w:val="16"/>
              </w:rPr>
              <w:t>936.14</w:t>
            </w:r>
          </w:p>
        </w:tc>
        <w:tc>
          <w:tcPr>
            <w:tcW w:type="dxa" w:w="1296"/>
            <w:vAlign w:val="center"/>
            <w:shd w:fill="F2F2F2"/>
          </w:tcPr>
          <w:p>
            <w:r>
              <w:rPr>
                <w:rFonts w:ascii="Arial" w:hAnsi="Arial"/>
                <w:sz w:val="16"/>
              </w:rPr>
              <w:t>662.00</w:t>
            </w:r>
          </w:p>
        </w:tc>
        <w:tc>
          <w:tcPr>
            <w:tcW w:type="dxa" w:w="1296"/>
            <w:vAlign w:val="center"/>
            <w:shd w:fill="F2F2F2"/>
          </w:tcPr>
          <w:p>
            <w:r>
              <w:rPr>
                <w:rFonts w:ascii="Arial" w:hAnsi="Arial"/>
                <w:sz w:val="16"/>
              </w:rPr>
              <w:t>381.94</w:t>
            </w:r>
          </w:p>
        </w:tc>
      </w:tr>
      <w:tr>
        <w:tc>
          <w:tcPr>
            <w:tcW w:type="dxa" w:w="1296"/>
            <w:vAlign w:val="center"/>
          </w:tcPr>
          <w:p>
            <w:r>
              <w:rPr>
                <w:rFonts w:ascii="Arial" w:hAnsi="Arial"/>
                <w:sz w:val="16"/>
              </w:rPr>
              <w:t>FY 2027-28</w:t>
            </w:r>
          </w:p>
        </w:tc>
        <w:tc>
          <w:tcPr>
            <w:tcW w:type="dxa" w:w="1296"/>
            <w:vAlign w:val="center"/>
          </w:tcPr>
          <w:p>
            <w:r>
              <w:rPr>
                <w:rFonts w:ascii="Arial" w:hAnsi="Arial"/>
                <w:sz w:val="16"/>
              </w:rPr>
              <w:t>15,604.32</w:t>
            </w:r>
          </w:p>
        </w:tc>
        <w:tc>
          <w:tcPr>
            <w:tcW w:type="dxa" w:w="1296"/>
            <w:vAlign w:val="center"/>
          </w:tcPr>
          <w:p>
            <w:r>
              <w:rPr>
                <w:rFonts w:ascii="Arial" w:hAnsi="Arial"/>
                <w:sz w:val="16"/>
              </w:rPr>
              <w:t>2,247.02</w:t>
            </w:r>
          </w:p>
        </w:tc>
        <w:tc>
          <w:tcPr>
            <w:tcW w:type="dxa" w:w="1296"/>
            <w:vAlign w:val="center"/>
          </w:tcPr>
          <w:p>
            <w:r>
              <w:rPr>
                <w:rFonts w:ascii="Arial" w:hAnsi="Arial"/>
                <w:sz w:val="16"/>
              </w:rPr>
              <w:t>14.40%</w:t>
            </w:r>
          </w:p>
        </w:tc>
        <w:tc>
          <w:tcPr>
            <w:tcW w:type="dxa" w:w="1296"/>
            <w:vAlign w:val="center"/>
          </w:tcPr>
          <w:p>
            <w:r>
              <w:rPr>
                <w:rFonts w:ascii="Arial" w:hAnsi="Arial"/>
                <w:sz w:val="16"/>
              </w:rPr>
              <w:t>1,799.47</w:t>
            </w:r>
          </w:p>
        </w:tc>
        <w:tc>
          <w:tcPr>
            <w:tcW w:type="dxa" w:w="1296"/>
            <w:vAlign w:val="center"/>
          </w:tcPr>
          <w:p>
            <w:r>
              <w:rPr>
                <w:rFonts w:ascii="Arial" w:hAnsi="Arial"/>
                <w:sz w:val="16"/>
              </w:rPr>
              <w:t>1,217.08</w:t>
            </w:r>
          </w:p>
        </w:tc>
        <w:tc>
          <w:tcPr>
            <w:tcW w:type="dxa" w:w="1296"/>
            <w:vAlign w:val="center"/>
          </w:tcPr>
          <w:p>
            <w:r>
              <w:rPr>
                <w:rFonts w:ascii="Arial" w:hAnsi="Arial"/>
                <w:sz w:val="16"/>
              </w:rPr>
              <w:t>462.00</w:t>
            </w:r>
          </w:p>
        </w:tc>
        <w:tc>
          <w:tcPr>
            <w:tcW w:type="dxa" w:w="1296"/>
            <w:vAlign w:val="center"/>
          </w:tcPr>
          <w:p>
            <w:r>
              <w:rPr>
                <w:rFonts w:ascii="Arial" w:hAnsi="Arial"/>
                <w:sz w:val="16"/>
              </w:rPr>
              <w:t>414.20</w:t>
            </w:r>
          </w:p>
        </w:tc>
      </w:tr>
      <w:tr>
        <w:tc>
          <w:tcPr>
            <w:tcW w:type="dxa" w:w="1296"/>
            <w:vAlign w:val="center"/>
            <w:shd w:fill="F2F2F2"/>
          </w:tcPr>
          <w:p>
            <w:r>
              <w:rPr>
                <w:rFonts w:ascii="Arial" w:hAnsi="Arial"/>
                <w:sz w:val="16"/>
              </w:rPr>
              <w:t>FY 2028-29</w:t>
            </w:r>
          </w:p>
        </w:tc>
        <w:tc>
          <w:tcPr>
            <w:tcW w:type="dxa" w:w="1296"/>
            <w:vAlign w:val="center"/>
            <w:shd w:fill="F2F2F2"/>
          </w:tcPr>
          <w:p>
            <w:r>
              <w:rPr>
                <w:rFonts w:ascii="Arial" w:hAnsi="Arial"/>
                <w:sz w:val="16"/>
              </w:rPr>
              <w:t>17,788.92</w:t>
            </w:r>
          </w:p>
        </w:tc>
        <w:tc>
          <w:tcPr>
            <w:tcW w:type="dxa" w:w="1296"/>
            <w:vAlign w:val="center"/>
            <w:shd w:fill="F2F2F2"/>
          </w:tcPr>
          <w:p>
            <w:r>
              <w:rPr>
                <w:rFonts w:ascii="Arial" w:hAnsi="Arial"/>
                <w:sz w:val="16"/>
              </w:rPr>
              <w:t>2,632.76</w:t>
            </w:r>
          </w:p>
        </w:tc>
        <w:tc>
          <w:tcPr>
            <w:tcW w:type="dxa" w:w="1296"/>
            <w:vAlign w:val="center"/>
            <w:shd w:fill="F2F2F2"/>
          </w:tcPr>
          <w:p>
            <w:r>
              <w:rPr>
                <w:rFonts w:ascii="Arial" w:hAnsi="Arial"/>
                <w:sz w:val="16"/>
              </w:rPr>
              <w:t>14.80%</w:t>
            </w:r>
          </w:p>
        </w:tc>
        <w:tc>
          <w:tcPr>
            <w:tcW w:type="dxa" w:w="1296"/>
            <w:vAlign w:val="center"/>
            <w:shd w:fill="F2F2F2"/>
          </w:tcPr>
          <w:p>
            <w:r>
              <w:rPr>
                <w:rFonts w:ascii="Arial" w:hAnsi="Arial"/>
                <w:sz w:val="16"/>
              </w:rPr>
              <w:t>2,181.07</w:t>
            </w:r>
          </w:p>
        </w:tc>
        <w:tc>
          <w:tcPr>
            <w:tcW w:type="dxa" w:w="1296"/>
            <w:vAlign w:val="center"/>
            <w:shd w:fill="F2F2F2"/>
          </w:tcPr>
          <w:p>
            <w:r>
              <w:rPr>
                <w:rFonts w:ascii="Arial" w:hAnsi="Arial"/>
                <w:sz w:val="16"/>
              </w:rPr>
              <w:t>1,533.98</w:t>
            </w:r>
          </w:p>
        </w:tc>
        <w:tc>
          <w:tcPr>
            <w:tcW w:type="dxa" w:w="1296"/>
            <w:vAlign w:val="center"/>
            <w:shd w:fill="F2F2F2"/>
          </w:tcPr>
          <w:p>
            <w:r>
              <w:rPr>
                <w:rFonts w:ascii="Arial" w:hAnsi="Arial"/>
                <w:sz w:val="16"/>
              </w:rPr>
              <w:t>512.00</w:t>
            </w:r>
          </w:p>
        </w:tc>
        <w:tc>
          <w:tcPr>
            <w:tcW w:type="dxa" w:w="1296"/>
            <w:vAlign w:val="center"/>
            <w:shd w:fill="F2F2F2"/>
          </w:tcPr>
          <w:p>
            <w:r>
              <w:rPr>
                <w:rFonts w:ascii="Arial" w:hAnsi="Arial"/>
                <w:sz w:val="16"/>
              </w:rPr>
              <w:t>366.68</w:t>
            </w:r>
          </w:p>
        </w:tc>
      </w:tr>
      <w:tr>
        <w:tc>
          <w:tcPr>
            <w:tcW w:type="dxa" w:w="1296"/>
            <w:vAlign w:val="center"/>
          </w:tcPr>
          <w:p>
            <w:r>
              <w:rPr>
                <w:rFonts w:ascii="Arial" w:hAnsi="Arial"/>
                <w:sz w:val="16"/>
              </w:rPr>
              <w:t>FY 2029-30</w:t>
            </w:r>
          </w:p>
        </w:tc>
        <w:tc>
          <w:tcPr>
            <w:tcW w:type="dxa" w:w="1296"/>
            <w:vAlign w:val="center"/>
          </w:tcPr>
          <w:p>
            <w:r>
              <w:rPr>
                <w:rFonts w:ascii="Arial" w:hAnsi="Arial"/>
                <w:sz w:val="16"/>
              </w:rPr>
              <w:t>19,923.60</w:t>
            </w:r>
          </w:p>
        </w:tc>
        <w:tc>
          <w:tcPr>
            <w:tcW w:type="dxa" w:w="1296"/>
            <w:vAlign w:val="center"/>
          </w:tcPr>
          <w:p>
            <w:r>
              <w:rPr>
                <w:rFonts w:ascii="Arial" w:hAnsi="Arial"/>
                <w:sz w:val="16"/>
              </w:rPr>
              <w:t>3,008.46</w:t>
            </w:r>
          </w:p>
        </w:tc>
        <w:tc>
          <w:tcPr>
            <w:tcW w:type="dxa" w:w="1296"/>
            <w:vAlign w:val="center"/>
          </w:tcPr>
          <w:p>
            <w:r>
              <w:rPr>
                <w:rFonts w:ascii="Arial" w:hAnsi="Arial"/>
                <w:sz w:val="16"/>
              </w:rPr>
              <w:t>15.10%</w:t>
            </w:r>
          </w:p>
        </w:tc>
        <w:tc>
          <w:tcPr>
            <w:tcW w:type="dxa" w:w="1296"/>
            <w:vAlign w:val="center"/>
          </w:tcPr>
          <w:p>
            <w:r>
              <w:rPr>
                <w:rFonts w:ascii="Arial" w:hAnsi="Arial"/>
                <w:sz w:val="16"/>
              </w:rPr>
              <w:t>2,555.69</w:t>
            </w:r>
          </w:p>
        </w:tc>
        <w:tc>
          <w:tcPr>
            <w:tcW w:type="dxa" w:w="1296"/>
            <w:vAlign w:val="center"/>
          </w:tcPr>
          <w:p>
            <w:r>
              <w:rPr>
                <w:rFonts w:ascii="Arial" w:hAnsi="Arial"/>
                <w:sz w:val="16"/>
              </w:rPr>
              <w:t>1,854.01</w:t>
            </w:r>
          </w:p>
        </w:tc>
        <w:tc>
          <w:tcPr>
            <w:tcW w:type="dxa" w:w="1296"/>
            <w:vAlign w:val="center"/>
          </w:tcPr>
          <w:p>
            <w:r>
              <w:rPr>
                <w:rFonts w:ascii="Arial" w:hAnsi="Arial"/>
                <w:sz w:val="16"/>
              </w:rPr>
              <w:t>412.00</w:t>
            </w:r>
          </w:p>
        </w:tc>
        <w:tc>
          <w:tcPr>
            <w:tcW w:type="dxa" w:w="1296"/>
            <w:vAlign w:val="center"/>
          </w:tcPr>
          <w:p>
            <w:r>
              <w:rPr>
                <w:rFonts w:ascii="Arial" w:hAnsi="Arial"/>
                <w:sz w:val="16"/>
              </w:rPr>
              <w:t>338.46</w:t>
            </w:r>
          </w:p>
        </w:tc>
      </w:tr>
      <w:tr>
        <w:tc>
          <w:tcPr>
            <w:tcW w:type="dxa" w:w="1296"/>
            <w:vAlign w:val="center"/>
            <w:shd w:fill="F2F2F2"/>
          </w:tcPr>
          <w:p>
            <w:r>
              <w:rPr>
                <w:rFonts w:ascii="Arial" w:hAnsi="Arial"/>
                <w:sz w:val="16"/>
              </w:rPr>
              <w:t>FY 2030-31</w:t>
            </w:r>
          </w:p>
        </w:tc>
        <w:tc>
          <w:tcPr>
            <w:tcW w:type="dxa" w:w="1296"/>
            <w:vAlign w:val="center"/>
            <w:shd w:fill="F2F2F2"/>
          </w:tcPr>
          <w:p>
            <w:r>
              <w:rPr>
                <w:rFonts w:ascii="Arial" w:hAnsi="Arial"/>
                <w:sz w:val="16"/>
              </w:rPr>
              <w:t>21,915.96</w:t>
            </w:r>
          </w:p>
        </w:tc>
        <w:tc>
          <w:tcPr>
            <w:tcW w:type="dxa" w:w="1296"/>
            <w:vAlign w:val="center"/>
            <w:shd w:fill="F2F2F2"/>
          </w:tcPr>
          <w:p>
            <w:r>
              <w:rPr>
                <w:rFonts w:ascii="Arial" w:hAnsi="Arial"/>
                <w:sz w:val="16"/>
              </w:rPr>
              <w:t>3,353.14</w:t>
            </w:r>
          </w:p>
        </w:tc>
        <w:tc>
          <w:tcPr>
            <w:tcW w:type="dxa" w:w="1296"/>
            <w:vAlign w:val="center"/>
            <w:shd w:fill="F2F2F2"/>
          </w:tcPr>
          <w:p>
            <w:r>
              <w:rPr>
                <w:rFonts w:ascii="Arial" w:hAnsi="Arial"/>
                <w:sz w:val="16"/>
              </w:rPr>
              <w:t>15.30%</w:t>
            </w:r>
          </w:p>
        </w:tc>
        <w:tc>
          <w:tcPr>
            <w:tcW w:type="dxa" w:w="1296"/>
            <w:vAlign w:val="center"/>
            <w:shd w:fill="F2F2F2"/>
          </w:tcPr>
          <w:p>
            <w:r>
              <w:rPr>
                <w:rFonts w:ascii="Arial" w:hAnsi="Arial"/>
                <w:sz w:val="16"/>
              </w:rPr>
              <w:t>2,902.02</w:t>
            </w:r>
          </w:p>
        </w:tc>
        <w:tc>
          <w:tcPr>
            <w:tcW w:type="dxa" w:w="1296"/>
            <w:vAlign w:val="center"/>
            <w:shd w:fill="F2F2F2"/>
          </w:tcPr>
          <w:p>
            <w:r>
              <w:rPr>
                <w:rFonts w:ascii="Arial" w:hAnsi="Arial"/>
                <w:sz w:val="16"/>
              </w:rPr>
              <w:t>2,164.59</w:t>
            </w:r>
          </w:p>
        </w:tc>
        <w:tc>
          <w:tcPr>
            <w:tcW w:type="dxa" w:w="1296"/>
            <w:vAlign w:val="center"/>
            <w:shd w:fill="F2F2F2"/>
          </w:tcPr>
          <w:p>
            <w:r>
              <w:rPr>
                <w:rFonts w:ascii="Arial" w:hAnsi="Arial"/>
                <w:sz w:val="16"/>
              </w:rPr>
              <w:t>462.00</w:t>
            </w:r>
          </w:p>
        </w:tc>
        <w:tc>
          <w:tcPr>
            <w:tcW w:type="dxa" w:w="1296"/>
            <w:vAlign w:val="center"/>
            <w:shd w:fill="F2F2F2"/>
          </w:tcPr>
          <w:p>
            <w:r>
              <w:rPr>
                <w:rFonts w:ascii="Arial" w:hAnsi="Arial"/>
                <w:sz w:val="16"/>
              </w:rPr>
              <w:t>322.02</w:t>
            </w:r>
          </w:p>
        </w:tc>
      </w:tr>
    </w:tbl>
    <w:p>
      <w:r>
        <w:br w:type="page"/>
      </w:r>
    </w:p>
    <w:p>
      <w:pPr>
        <w:pStyle w:val="Heading1"/>
      </w:pPr>
      <w:r>
        <w:t>ANNEXURE E</w:t>
      </w:r>
    </w:p>
    <w:p>
      <w:pPr>
        <w:pStyle w:val="Heading1"/>
      </w:pPr>
      <w:r>
        <w:t>Summary of Key Assumptions and Review Items</w:t>
      </w:r>
    </w:p>
    <w:p>
      <w:pPr>
        <w:pStyle w:val="ListBullet"/>
      </w:pPr>
      <w:r>
        <w:t>WACC used: 15.00%.</w:t>
      </w:r>
    </w:p>
    <w:p>
      <w:pPr>
        <w:pStyle w:val="ListBullet"/>
      </w:pPr>
      <w:r>
        <w:t>Terminal growth rate: 5.00%.</w:t>
      </w:r>
    </w:p>
    <w:p>
      <w:pPr>
        <w:pStyle w:val="ListBullet"/>
      </w:pPr>
      <w:r>
        <w:t>Tax rate: 25.00%.</w:t>
      </w:r>
    </w:p>
    <w:p>
      <w:pPr>
        <w:pStyle w:val="ListBullet"/>
      </w:pPr>
      <w:r>
        <w:t>Fully diluted shares: 6,150,000.</w:t>
      </w:r>
    </w:p>
    <w:p>
      <w:pPr>
        <w:pStyle w:val="ListBullet"/>
      </w:pPr>
      <w:r>
        <w:t>Open review items: 21.</w:t>
      </w:r>
    </w:p>
    <w:p>
      <w:pPr>
        <w:pStyle w:val="ListBullet"/>
      </w:pPr>
      <w:r>
        <w:t>Material open review items: 21.</w:t>
      </w:r>
    </w:p>
    <w:p>
      <w:pPr>
        <w:pStyle w:val="ListBullet"/>
      </w:pPr>
      <w:r>
        <w:t>Failed financial cross-checks: 0.</w:t>
      </w:r>
    </w:p>
    <w:p>
      <w:pPr>
        <w:pStyle w:val="ListBullet"/>
      </w:pPr>
      <w:r>
        <w:t>Failed capital checks: 0.</w:t>
      </w:r>
    </w:p>
    <w:p>
      <w:pPr>
        <w:pStyle w:val="ListBullet"/>
      </w:pPr>
      <w:r>
        <w:t>Final report ready: No.</w:t>
      </w:r>
    </w:p>
    <w:p>
      <w:pPr>
        <w:pStyle w:val="ReportNote"/>
      </w:pPr>
      <w:r>
        <w:t>Any assumption, source, extracted field or validation item flagged for review must be resolved or expressly addressed by the Registered Valuer before final issuance.</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666666"/>
        <w:sz w:val="15"/>
      </w:rPr>
      <w:t>Registered Valuer - Securities or Financial Assets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Arial" w:hAnsi="Arial"/>
        <w:i/>
        <w:color w:val="666666"/>
        <w:sz w:val="15"/>
      </w:rPr>
      <w:t>Private &amp; Confidential</w:t>
    </w:r>
    <w:r>
      <w:t xml:space="preserve">                </w:t>
    </w:r>
    <w:r>
      <w:rPr>
        <w:rFonts w:ascii="Arial" w:hAnsi="Arial"/>
        <w:i/>
        <w:color w:val="666666"/>
        <w:sz w:val="15"/>
      </w:rPr>
      <w:t>Report on Fair Value of Equity Shares - Vanraj Furniture Industries Private Limited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3E6B"/>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B28A16"/>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Note">
    <w:name w:val="Report Note"/>
    <w:rPr>
      <w:rFonts w:ascii="Arial" w:hAnsi="Arial"/>
      <w:i/>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