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MF X-RAY — AI-Powered Mutual Fund Portfolio Intelligence &amp; Risk Analysis System</w:t>
      </w:r>
    </w:p>
    <w:p>
      <w:pPr>
        <w:jc w:val="center"/>
      </w:pPr>
      <w:r>
        <w:rPr>
          <w:i/>
          <w:sz w:val="26"/>
        </w:rPr>
        <w:t>AI-Powered Mutual Fund Portfolio Intelligence &amp; Risk Analysis System</w:t>
      </w:r>
    </w:p>
    <w:p>
      <w:pPr>
        <w:jc w:val="center"/>
      </w:pPr>
      <w:r>
        <w:rPr>
          <w:b/>
        </w:rPr>
        <w:t>DEMO DATA — NOT LIVE MARKET DATA</w:t>
      </w:r>
    </w:p>
    <w:p>
      <w:pPr>
        <w:jc w:val="center"/>
      </w:pPr>
      <w:r>
        <w:t>Report generated on 16-Sep-2026 14:08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Your portfolio contains 1 mutual fund totalling ₹3,00,000. The highest effective exposure is to 'HDFC Bank' at 9.5% of your total portfolio. 'Financial Services' is also your largest sector exposure at 17.7%. Your top 5 effective stock holdings account for 31.6% of the portfolio, and the top 10 account for 31.6%. The MF X-Ray Portfolio Health Score for this portfolio is 61/100 (risk bucket: Moderate). Overall, overlap and concentration levels are within the reference ranges used by this application, but you should still review the sector and stock breakdown above against your own comfort with risk.</w:t>
      </w:r>
    </w:p>
    <w:p>
      <w:pPr>
        <w:pStyle w:val="Heading1"/>
      </w:pPr>
      <w:r>
        <w:t>Portfolio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Investment</w:t>
            </w:r>
          </w:p>
        </w:tc>
        <w:tc>
          <w:tcPr>
            <w:tcW w:type="dxa" w:w="4320"/>
          </w:tcPr>
          <w:p>
            <w:r>
              <w:t>₹3,00,000</w:t>
            </w:r>
          </w:p>
        </w:tc>
      </w:tr>
      <w:tr>
        <w:tc>
          <w:tcPr>
            <w:tcW w:type="dxa" w:w="4320"/>
          </w:tcPr>
          <w:p>
            <w:r>
              <w:t>Number of Funds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Weighted Expense Ratio</w:t>
            </w:r>
          </w:p>
        </w:tc>
        <w:tc>
          <w:tcPr>
            <w:tcW w:type="dxa" w:w="4320"/>
          </w:tcPr>
          <w:p>
            <w:r>
              <w:t>1.6%</w:t>
            </w:r>
          </w:p>
        </w:tc>
      </w:tr>
      <w:tr>
        <w:tc>
          <w:tcPr>
            <w:tcW w:type="dxa" w:w="4320"/>
          </w:tcPr>
          <w:p>
            <w:r>
              <w:t>Weighted Equity / Debt / Cash</w:t>
            </w:r>
          </w:p>
        </w:tc>
        <w:tc>
          <w:tcPr>
            <w:tcW w:type="dxa" w:w="4320"/>
          </w:tcPr>
          <w:p>
            <w:r>
              <w:t>95.0% / 3.0% / 2.0%</w:t>
            </w:r>
          </w:p>
        </w:tc>
      </w:tr>
      <w:tr>
        <w:tc>
          <w:tcPr>
            <w:tcW w:type="dxa" w:w="4320"/>
          </w:tcPr>
          <w:p>
            <w:r>
              <w:t>Portfolio Health Score</w:t>
            </w:r>
          </w:p>
        </w:tc>
        <w:tc>
          <w:tcPr>
            <w:tcW w:type="dxa" w:w="4320"/>
          </w:tcPr>
          <w:p>
            <w:r>
              <w:t>61 / 100 (Moderate)</w:t>
            </w:r>
          </w:p>
        </w:tc>
      </w:tr>
    </w:tbl>
    <w:p>
      <w:pPr>
        <w:pStyle w:val="Heading1"/>
      </w:pPr>
      <w:r>
        <w:t>Fund-wise Analysis</w:t>
      </w:r>
    </w:p>
    <w:p>
      <w:pPr>
        <w:pStyle w:val="Heading2"/>
      </w:pPr>
      <w:r>
        <w:t>HDFC Top 100 Fund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Equity - Large Cap</w:t>
            </w:r>
          </w:p>
        </w:tc>
      </w:tr>
      <w:tr>
        <w:tc>
          <w:tcPr>
            <w:tcW w:type="dxa" w:w="4320"/>
          </w:tcPr>
          <w:p>
            <w:r>
              <w:t>NAV</w:t>
            </w:r>
          </w:p>
        </w:tc>
        <w:tc>
          <w:tcPr>
            <w:tcW w:type="dxa" w:w="4320"/>
          </w:tcPr>
          <w:p>
            <w:r>
              <w:t>102.50</w:t>
            </w:r>
          </w:p>
        </w:tc>
      </w:tr>
      <w:tr>
        <w:tc>
          <w:tcPr>
            <w:tcW w:type="dxa" w:w="4320"/>
          </w:tcPr>
          <w:p>
            <w:r>
              <w:t>Expense Ratio</w:t>
            </w:r>
          </w:p>
        </w:tc>
        <w:tc>
          <w:tcPr>
            <w:tcW w:type="dxa" w:w="4320"/>
          </w:tcPr>
          <w:p>
            <w:r>
              <w:t>1.6%</w:t>
            </w:r>
          </w:p>
        </w:tc>
      </w:tr>
      <w:tr>
        <w:tc>
          <w:tcPr>
            <w:tcW w:type="dxa" w:w="4320"/>
          </w:tcPr>
          <w:p>
            <w:r>
              <w:t>1Y / 3Y / 5Y Returns</w:t>
            </w:r>
          </w:p>
        </w:tc>
        <w:tc>
          <w:tcPr>
            <w:tcW w:type="dxa" w:w="4320"/>
          </w:tcPr>
          <w:p>
            <w:r>
              <w:t>12.0% / 14.0% / 12.0%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Moderate</w:t>
            </w:r>
          </w:p>
        </w:tc>
      </w:tr>
      <w:tr>
        <w:tc>
          <w:tcPr>
            <w:tcW w:type="dxa" w:w="4320"/>
          </w:tcPr>
          <w:p>
            <w:r>
              <w:t>Benchmark</w:t>
            </w:r>
          </w:p>
        </w:tc>
        <w:tc>
          <w:tcPr>
            <w:tcW w:type="dxa" w:w="4320"/>
          </w:tcPr>
          <w:p>
            <w:r>
              <w:t>Nifty 500 TRI</w:t>
            </w:r>
          </w:p>
        </w:tc>
      </w:tr>
    </w:tbl>
    <w:p>
      <w:r>
        <w:t>Top Holdings: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Weight %</w:t>
            </w:r>
          </w:p>
        </w:tc>
      </w:tr>
      <w:tr>
        <w:tc>
          <w:tcPr>
            <w:tcW w:type="dxa" w:w="4320"/>
          </w:tcPr>
          <w:p>
            <w:r>
              <w:t>HDFC Bank</w:t>
            </w:r>
          </w:p>
        </w:tc>
        <w:tc>
          <w:tcPr>
            <w:tcW w:type="dxa" w:w="4320"/>
          </w:tcPr>
          <w:p>
            <w:r>
              <w:t>9.50</w:t>
            </w:r>
          </w:p>
        </w:tc>
      </w:tr>
      <w:tr>
        <w:tc>
          <w:tcPr>
            <w:tcW w:type="dxa" w:w="4320"/>
          </w:tcPr>
          <w:p>
            <w:r>
              <w:t>ICICI Bank</w:t>
            </w:r>
          </w:p>
        </w:tc>
        <w:tc>
          <w:tcPr>
            <w:tcW w:type="dxa" w:w="4320"/>
          </w:tcPr>
          <w:p>
            <w:r>
              <w:t>8.20</w:t>
            </w:r>
          </w:p>
        </w:tc>
      </w:tr>
      <w:tr>
        <w:tc>
          <w:tcPr>
            <w:tcW w:type="dxa" w:w="4320"/>
          </w:tcPr>
          <w:p>
            <w:r>
              <w:t>Infosys</w:t>
            </w:r>
          </w:p>
        </w:tc>
        <w:tc>
          <w:tcPr>
            <w:tcW w:type="dxa" w:w="4320"/>
          </w:tcPr>
          <w:p>
            <w:r>
              <w:t>7.10</w:t>
            </w:r>
          </w:p>
        </w:tc>
      </w:tr>
      <w:tr>
        <w:tc>
          <w:tcPr>
            <w:tcW w:type="dxa" w:w="4320"/>
          </w:tcPr>
          <w:p>
            <w:r>
              <w:t>Reliance Industries</w:t>
            </w:r>
          </w:p>
        </w:tc>
        <w:tc>
          <w:tcPr>
            <w:tcW w:type="dxa" w:w="4320"/>
          </w:tcPr>
          <w:p>
            <w:r>
              <w:t>6.80</w:t>
            </w:r>
          </w:p>
        </w:tc>
      </w:tr>
    </w:tbl>
    <w:p>
      <w:r>
        <w:br w:type="page"/>
      </w:r>
    </w:p>
    <w:p>
      <w:pPr>
        <w:pStyle w:val="Heading1"/>
      </w:pPr>
      <w:r>
        <w:t>Portfolio X-Ray - Top Underlying Exposures</w:t>
      </w:r>
    </w:p>
    <w:p>
      <w:r>
        <w:t>Effective exposure combines each fund's holding weight with the amount you have invested in that fund (see Methodology for a worked example).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Sector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Exposure Amount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Effective Exposure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Funds Holding 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Number of Funds</w:t>
            </w:r>
          </w:p>
        </w:tc>
      </w:tr>
      <w:tr>
        <w:tc>
          <w:tcPr>
            <w:tcW w:type="dxa" w:w="1440"/>
          </w:tcPr>
          <w:p>
            <w:r>
              <w:t>HDFC Bank</w:t>
            </w:r>
          </w:p>
        </w:tc>
        <w:tc>
          <w:tcPr>
            <w:tcW w:type="dxa" w:w="1440"/>
          </w:tcPr>
          <w:p>
            <w:r>
              <w:t>Financial Services</w:t>
            </w:r>
          </w:p>
        </w:tc>
        <w:tc>
          <w:tcPr>
            <w:tcW w:type="dxa" w:w="1440"/>
          </w:tcPr>
          <w:p>
            <w:r>
              <w:t>28,500.00</w:t>
            </w:r>
          </w:p>
        </w:tc>
        <w:tc>
          <w:tcPr>
            <w:tcW w:type="dxa" w:w="1440"/>
          </w:tcPr>
          <w:p>
            <w:r>
              <w:t>9.50</w:t>
            </w:r>
          </w:p>
        </w:tc>
        <w:tc>
          <w:tcPr>
            <w:tcW w:type="dxa" w:w="1440"/>
          </w:tcPr>
          <w:p>
            <w:r>
              <w:t>HDFC Top 100 Fund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ICICI Bank</w:t>
            </w:r>
          </w:p>
        </w:tc>
        <w:tc>
          <w:tcPr>
            <w:tcW w:type="dxa" w:w="1440"/>
          </w:tcPr>
          <w:p>
            <w:r>
              <w:t>Financial Services</w:t>
            </w:r>
          </w:p>
        </w:tc>
        <w:tc>
          <w:tcPr>
            <w:tcW w:type="dxa" w:w="1440"/>
          </w:tcPr>
          <w:p>
            <w:r>
              <w:t>24,600.00</w:t>
            </w:r>
          </w:p>
        </w:tc>
        <w:tc>
          <w:tcPr>
            <w:tcW w:type="dxa" w:w="1440"/>
          </w:tcPr>
          <w:p>
            <w:r>
              <w:t>8.20</w:t>
            </w:r>
          </w:p>
        </w:tc>
        <w:tc>
          <w:tcPr>
            <w:tcW w:type="dxa" w:w="1440"/>
          </w:tcPr>
          <w:p>
            <w:r>
              <w:t>HDFC Top 100 Fund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Infosys</w:t>
            </w:r>
          </w:p>
        </w:tc>
        <w:tc>
          <w:tcPr>
            <w:tcW w:type="dxa" w:w="1440"/>
          </w:tcPr>
          <w:p>
            <w:r>
              <w:t>Information Technology</w:t>
            </w:r>
          </w:p>
        </w:tc>
        <w:tc>
          <w:tcPr>
            <w:tcW w:type="dxa" w:w="1440"/>
          </w:tcPr>
          <w:p>
            <w:r>
              <w:t>21,300.00</w:t>
            </w:r>
          </w:p>
        </w:tc>
        <w:tc>
          <w:tcPr>
            <w:tcW w:type="dxa" w:w="1440"/>
          </w:tcPr>
          <w:p>
            <w:r>
              <w:t>7.10</w:t>
            </w:r>
          </w:p>
        </w:tc>
        <w:tc>
          <w:tcPr>
            <w:tcW w:type="dxa" w:w="1440"/>
          </w:tcPr>
          <w:p>
            <w:r>
              <w:t>HDFC Top 100 Fund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Reliance Industries</w:t>
            </w:r>
          </w:p>
        </w:tc>
        <w:tc>
          <w:tcPr>
            <w:tcW w:type="dxa" w:w="1440"/>
          </w:tcPr>
          <w:p>
            <w:r>
              <w:t>Energy</w:t>
            </w:r>
          </w:p>
        </w:tc>
        <w:tc>
          <w:tcPr>
            <w:tcW w:type="dxa" w:w="1440"/>
          </w:tcPr>
          <w:p>
            <w:r>
              <w:t>20,400.00</w:t>
            </w:r>
          </w:p>
        </w:tc>
        <w:tc>
          <w:tcPr>
            <w:tcW w:type="dxa" w:w="1440"/>
          </w:tcPr>
          <w:p>
            <w:r>
              <w:t>6.80</w:t>
            </w:r>
          </w:p>
        </w:tc>
        <w:tc>
          <w:tcPr>
            <w:tcW w:type="dxa" w:w="1440"/>
          </w:tcPr>
          <w:p>
            <w:r>
              <w:t>HDFC Top 100 Fund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pPr>
        <w:pStyle w:val="Heading1"/>
      </w:pPr>
      <w:r>
        <w:t>Overlap Analysis</w:t>
      </w:r>
    </w:p>
    <w:p>
      <w:r>
        <w:t>MF X-Ray Overlap Methodology: for any two funds, the overlap percentage is the sum, across every company held by BOTH funds, of the SMALLER of the two portfolio weights for that company. A value of 100% would mean the two funds are identical in composition; 0% means they share no common holdings. This is a portfolio-similarity measure created for this application and is not an official / regulatory calculation.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HDFC Top 100 Fund</w:t>
            </w:r>
          </w:p>
        </w:tc>
      </w:tr>
      <w:tr>
        <w:tc>
          <w:tcPr>
            <w:tcW w:type="dxa" w:w="4320"/>
          </w:tcPr>
          <w:p>
            <w:r>
              <w:t>HDFC Top 100 Fund</w:t>
            </w:r>
          </w:p>
        </w:tc>
        <w:tc>
          <w:tcPr>
            <w:tcW w:type="dxa" w:w="4320"/>
          </w:tcPr>
          <w:p>
            <w:r>
              <w:t>100.00</w:t>
            </w:r>
          </w:p>
        </w:tc>
      </w:tr>
    </w:tbl>
    <w:p>
      <w:pPr>
        <w:pStyle w:val="Heading1"/>
      </w:pPr>
      <w:r>
        <w:t>Sector Concentration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Exposure Amount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Effective Exposure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Funds Contributing</w:t>
            </w:r>
          </w:p>
        </w:tc>
      </w:tr>
      <w:tr>
        <w:tc>
          <w:tcPr>
            <w:tcW w:type="dxa" w:w="2160"/>
          </w:tcPr>
          <w:p>
            <w:r>
              <w:t>Financial Services</w:t>
            </w:r>
          </w:p>
        </w:tc>
        <w:tc>
          <w:tcPr>
            <w:tcW w:type="dxa" w:w="2160"/>
          </w:tcPr>
          <w:p>
            <w:r>
              <w:t>53,100.00</w:t>
            </w:r>
          </w:p>
        </w:tc>
        <w:tc>
          <w:tcPr>
            <w:tcW w:type="dxa" w:w="2160"/>
          </w:tcPr>
          <w:p>
            <w:r>
              <w:t>17.70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Information Technology</w:t>
            </w:r>
          </w:p>
        </w:tc>
        <w:tc>
          <w:tcPr>
            <w:tcW w:type="dxa" w:w="2160"/>
          </w:tcPr>
          <w:p>
            <w:r>
              <w:t>21,300.00</w:t>
            </w:r>
          </w:p>
        </w:tc>
        <w:tc>
          <w:tcPr>
            <w:tcW w:type="dxa" w:w="2160"/>
          </w:tcPr>
          <w:p>
            <w:r>
              <w:t>7.10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Energy</w:t>
            </w:r>
          </w:p>
        </w:tc>
        <w:tc>
          <w:tcPr>
            <w:tcW w:type="dxa" w:w="2160"/>
          </w:tcPr>
          <w:p>
            <w:r>
              <w:t>20,400.00</w:t>
            </w:r>
          </w:p>
        </w:tc>
        <w:tc>
          <w:tcPr>
            <w:tcW w:type="dxa" w:w="2160"/>
          </w:tcPr>
          <w:p>
            <w:r>
              <w:t>6.80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Risk Analysis</w:t>
      </w:r>
    </w:p>
    <w:p>
      <w:r>
        <w:t>Assumption - Risk-free rate used: 6.0% (user-configurable analytical assumption). Figures are computed from the sample/simulated NAV history bundled with this prototype.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Fund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Volatility % (annualised)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Sharpe Ratio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Max Drawdown %</w:t>
            </w:r>
          </w:p>
        </w:tc>
      </w:tr>
      <w:tr>
        <w:tc>
          <w:tcPr>
            <w:tcW w:type="dxa" w:w="2160"/>
          </w:tcPr>
          <w:p>
            <w:r>
              <w:t>HDFC Top 100 Fund</w:t>
            </w:r>
          </w:p>
        </w:tc>
        <w:tc>
          <w:tcPr>
            <w:tcW w:type="dxa" w:w="2160"/>
          </w:tcPr>
          <w:p>
            <w:r>
              <w:t>8.66</w:t>
            </w:r>
          </w:p>
        </w:tc>
        <w:tc>
          <w:tcPr>
            <w:tcW w:type="dxa" w:w="2160"/>
          </w:tcPr>
          <w:p>
            <w:r>
              <w:t>0.73</w:t>
            </w:r>
          </w:p>
        </w:tc>
        <w:tc>
          <w:tcPr>
            <w:tcW w:type="dxa" w:w="2160"/>
          </w:tcPr>
          <w:p>
            <w:r>
              <w:t>-6.37</w:t>
            </w:r>
          </w:p>
        </w:tc>
      </w:tr>
    </w:tbl>
    <w:p>
      <w:pPr>
        <w:pStyle w:val="Heading1"/>
      </w:pPr>
      <w:r>
        <w:t>Portfolio Health Score</w:t>
      </w:r>
    </w:p>
    <w:p>
      <w:r>
        <w:t>MF X-Ray Portfolio Health Score is an analytical score out of 100, built from six transparent, independently-visible components: Diversification (20), Fund Overlap (20), Stock Concentration (20), Sector Concentration (15), Volatility (15) and Maximum Drawdown (10). Each component is scored from the portfolio's own calculated metrics against a reference point defined inside this application (shown alongside each component). This is an MF X-Ray analytical score created for this application and is NOT an official rating from any regulator, AMC or rating agency.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 of</w:t>
            </w:r>
          </w:p>
        </w:tc>
      </w:tr>
      <w:tr>
        <w:tc>
          <w:tcPr>
            <w:tcW w:type="dxa" w:w="2880"/>
          </w:tcPr>
          <w:p>
            <w:r>
              <w:t>Diversification</w:t>
            </w:r>
          </w:p>
        </w:tc>
        <w:tc>
          <w:tcPr>
            <w:tcW w:type="dxa" w:w="2880"/>
          </w:tcPr>
          <w:p>
            <w:r>
              <w:t>2.00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Overlap</w:t>
            </w:r>
          </w:p>
        </w:tc>
        <w:tc>
          <w:tcPr>
            <w:tcW w:type="dxa" w:w="2880"/>
          </w:tcPr>
          <w:p>
            <w:r>
              <w:t>20.00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Stock Concentration</w:t>
            </w:r>
          </w:p>
        </w:tc>
        <w:tc>
          <w:tcPr>
            <w:tcW w:type="dxa" w:w="2880"/>
          </w:tcPr>
          <w:p>
            <w:r>
              <w:t>9.50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Sector Concentration</w:t>
            </w:r>
          </w:p>
        </w:tc>
        <w:tc>
          <w:tcPr>
            <w:tcW w:type="dxa" w:w="2880"/>
          </w:tcPr>
          <w:p>
            <w:r>
              <w:t>9.70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Volatility</w:t>
            </w:r>
          </w:p>
        </w:tc>
        <w:tc>
          <w:tcPr>
            <w:tcW w:type="dxa" w:w="2880"/>
          </w:tcPr>
          <w:p>
            <w:r>
              <w:t>11.30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Drawdown</w:t>
            </w:r>
          </w:p>
        </w:tc>
        <w:tc>
          <w:tcPr>
            <w:tcW w:type="dxa" w:w="2880"/>
          </w:tcPr>
          <w:p>
            <w:r>
              <w:t>8.70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p>
      <w:r>
        <w:rPr>
          <w:b/>
        </w:rPr>
        <w:t>Total Portfolio Health Score: 61 / 100</w:t>
      </w:r>
    </w:p>
    <w:p>
      <w:pPr>
        <w:pStyle w:val="Heading1"/>
      </w:pPr>
      <w:r>
        <w:t>Key Observations &amp; Alerts</w:t>
      </w:r>
    </w:p>
    <w:p>
      <w:pPr>
        <w:pStyle w:val="ListBullet"/>
      </w:pPr>
      <w:r>
        <w:t>[High] Fund Concentration: Your portfolio allocation is heavily concentrated in one fund ('HDFC Top 100 Fund' at 100.0%).</w:t>
      </w:r>
    </w:p>
    <w:p>
      <w:pPr>
        <w:pStyle w:val="ListBullet"/>
      </w:pPr>
      <w:r>
        <w:t>[Medium] High Concentration: 'HDFC Bank' represents a relatively high proportion of your effective portfolio exposure (9.5%).</w:t>
      </w:r>
    </w:p>
    <w:p>
      <w:pPr>
        <w:pStyle w:val="ListBullet"/>
      </w:pPr>
      <w:r>
        <w:t>[Medium] High Concentration: 'ICICI Bank' represents a relatively high proportion of your effective portfolio exposure (8.2%).</w:t>
      </w:r>
    </w:p>
    <w:p>
      <w:r>
        <w:br w:type="page"/>
      </w:r>
    </w:p>
    <w:p>
      <w:pPr>
        <w:pStyle w:val="Heading1"/>
      </w:pPr>
      <w:r>
        <w:t>Methodology</w:t>
      </w:r>
    </w:p>
    <w:p>
      <w:r>
        <w:t>MF X-Ray Overlap Methodology: for any two funds, the overlap percentage is the sum, across every company held by BOTH funds, of the SMALLER of the two portfolio weights for that company. A value of 100% would mean the two funds are identical in composition; 0% means they share no common holdings. This is a portfolio-similarity measure created for this application and is not an official / regulatory calculation.</w:t>
      </w:r>
    </w:p>
    <w:p>
      <w:r>
        <w:t>MF X-Ray Portfolio Health Score is an analytical score out of 100, built from six transparent, independently-visible components: Diversification (20), Fund Overlap (20), Stock Concentration (20), Sector Concentration (15), Volatility (15) and Maximum Drawdown (10). Each component is scored from the portfolio's own calculated metrics against a reference point defined inside this application (shown alongside each component). This is an MF X-Ray analytical score created for this application and is NOT an official rating from any regulator, AMC or rating agency.</w:t>
      </w:r>
    </w:p>
    <w:p>
      <w:r>
        <w:t>MF X-Ray Analytical Thresholds used for alerts: high overlap pct = 40.0; high stock exposure pct = 8.0; high sector exposure pct = 30.0; high fund concentration pct = 40.0; top5 concentration watch pct = 40.0; top10 concentration watch pct = 60.0.</w:t>
      </w:r>
    </w:p>
    <w:p>
      <w:pPr>
        <w:pStyle w:val="Heading1"/>
      </w:pPr>
      <w:r>
        <w:t>Disclaimer</w:t>
      </w:r>
    </w:p>
    <w:p>
      <w:r>
        <w:t>MF X-Ray is an educational and analytical portfolio-intelligence tool. It is not investment advice and does not constitute a recommendation to buy, hold, sell or switch any mutual fund or security. Users should independently evaluate their financial circumstances and objectives before making investment decisions.</w:t>
      </w:r>
    </w:p>
    <w:p>
      <w:r>
        <w:t>DEMO DATA: The mutual-fund and market data included in this prototype are illustrative/sample data and should not be treated as current market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