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Final Review Paper - Statutory Audit FS Pack</w:t>
      </w:r>
    </w:p>
    <w:p>
      <w:r>
        <w:rPr>
          <w:i/>
        </w:rPr>
        <w:t>Generated by AuditSignOff Suite UAE - Partner/Manager Review Automation (offline). Software finds and records; the reviewer decides and signs.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080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0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GOLDEN CREST TRADING DMCC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Financial year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Module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 - Statutory audit FS pack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Document reviewed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fs_errors.docx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Trial balance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tb_errors.xlsx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Fact sheet source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engagement_errors.yaml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Generated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2026-10-17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Prepared by / Reviewed by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____________ / ____________</w:t>
            </w:r>
          </w:p>
        </w:tc>
      </w:tr>
    </w:tbl>
    <w:p/>
    <w:p>
      <w:pPr>
        <w:spacing w:before="240"/>
      </w:pPr>
      <w:r>
        <w:rPr>
          <w:b/>
          <w:sz w:val="22"/>
        </w:rPr>
        <w:t>1.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1440"/>
        <w:gridCol w:w="1872"/>
        <w:gridCol w:w="1728"/>
        <w:gridCol w:w="1296"/>
        <w:gridCol w:w="864"/>
        <w:gridCol w:w="1008"/>
        <w:gridCol w:w="864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Checks automated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Passed (not listed again)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With exceptions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Assisted - reviewer to confirm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 run (input missing)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Manual only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High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</w:tr>
    </w:tbl>
    <w:p>
      <w:r>
        <w:rPr>
          <w:b/>
        </w:rPr>
        <w:t>NOT READY for Partner sign-off: High-severity exceptions are open.</w:t>
      </w:r>
    </w:p>
    <w:p>
      <w:pPr>
        <w:spacing w:before="240"/>
      </w:pPr>
      <w:r>
        <w:rPr>
          <w:b/>
          <w:sz w:val="22"/>
        </w:rPr>
        <w:t>2. Exceptions requiring reviewer 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2304"/>
        <w:gridCol w:w="2880"/>
        <w:gridCol w:w="2016"/>
        <w:gridCol w:w="1296"/>
        <w:gridCol w:w="1296"/>
        <w:gridCol w:w="1440"/>
        <w:gridCol w:w="1008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Evidence / location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Found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Reviewer response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 / cleared by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SA-01.1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Company name spelling differs from trade licence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'GOLDEN CREST TRADNG DMCC' vs trade licence 'GOLDEN CREST TRADING DMCC'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Body para 17: 'GOLDEN CREST TRADNG DMCC (the 'Company') is a free'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GOLDEN CREST TRADING DMCC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GOLDEN CREST TRADNG DMCC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SA-04.1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Signatory name spelling differs from legal documents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'Mohamed Al Hashmi' vs legal name 'Mohammed Al Hashmi'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Body para 5: 'Signed on behalf of the Directors by Mohamed Al Ha'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Mohammed Al Hashmi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Mohamed Al Hashmi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SA-05.1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Signatories do not cover all shareholders and no Board Resolution is on file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shareholder(s), 1 signatory(ies)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FS signature page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All shareholders sign, or BR authorising signatory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 of 3 signed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SA-06.1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Comparative column headers not in CY, PY order for the reporting year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Header shows 2024 | 2023; expected 2025 | 2024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2025 | 2024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2024 | 2023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SA-07.1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Audit report date missing (no date after year-end in the report)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Year-end 2025-12-31; no later date located in the auditor's report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Auditor's report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Dated report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SA-08.1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Partner audit licence / registration number missing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'Registration No.: &lt;digits&gt;' pattern in the auditor's report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Auditor's report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Registration number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SA-08.2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Audit report reference number missing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'Ref: &lt;number&gt;' pattern in the auditor's report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Auditor's report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Report reference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SA-09.1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Licensing authority not named in 'other legal and regulatory requirements'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Expected DMCC; found ['DED']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Auditor's report - under heading 'start'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DMCC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SA-09.2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Wrong licensing authority named in auditor's report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'DED' appears; client is licensed by DMCC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Auditor's report - under heading 'start'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DMCC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SA-20.1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Statement of financial position does not balance (current year)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Total assets 1,010,000 vs total equity and liabilities 1,000,000; difference 10,000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1, row 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1,000,000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1,010,000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SA-21.1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Cash flow closing cash does not agree to SOFP cash and bank (current year)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Cash flow closing cash 85,000 vs SOFP cash and bank 80,000; difference 5,000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3, row 5 vs Table 1, row 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80,000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85,000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SA-24.1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Client trial balance does not balance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Debits 2,960,000 vs credits 2,940,000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TB - Table 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Dr = Cr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SA-24.2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Total assets per FS differ from client TB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FS total assets 1,010,000 vs TB assets 1,000,000; difference 10,000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1, row 6 vs TB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1,000,000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1,010,000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SA-24.3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Profit/(loss) per FS differs from client TB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FS profit 60,000 vs TB profit 40,000; difference 20,000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2, row 7 vs TB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40,000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60,000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SA-24.4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Total equity per FS differs from client TB (equity + current-year profit)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FS equity 550,000 vs TB equity 530,000; difference 20,000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1, row 9 vs TB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530,000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550,000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SA-46.1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Review level not completed before Partner stage: 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Partner review should be locked until all lower levels are cleared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Review log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SA-06.2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Period-end date differs from the entity's year-end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'as at 30 December 2025' - year-end is 31 December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Body para 12: 'as at 30 December 2025'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31 December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 December 2025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SA-06.3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Year 2023 appears but is neither current nor previous year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occurrence(s); expected only 2025 and 2024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Table 3: '2023'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2025/2024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SA-29.1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Mandatory note missing: End of service benefits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text matching /end of service|terminal benefit|gratuity/ in the pack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Notes - Table 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End of service benefits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SA-30.1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Standards disclosure incomplete for FY2025: 'IFRS 18' not mentioned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Annexure I of the review workbook is year-specific and must be refreshed each year-end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Notes - standards issued not yet effective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IFRS 18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SA-47.1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'FS ready before print' checklist not completed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Must follow completion of all review levels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Review log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SA-10.1</w:t>
            </w:r>
          </w:p>
        </w:tc>
        <w:tc>
          <w:tcPr>
            <w:tcW w:type="dxa" w:w="864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Addressee singular/plural does not match number of shareholders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shareholder(s) but report reads 'To the Shareholder'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Auditor's report - under heading 'Directors' report'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Shareholders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Shareholder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SA-13.1</w:t>
            </w:r>
          </w:p>
        </w:tc>
        <w:tc>
          <w:tcPr>
            <w:tcW w:type="dxa" w:w="864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Font 'Arial' used instead of Times New Roman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45 characters (1.3% of text)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Body para 19: 'A paragraph typed in the wrong font and size.'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Times New Roman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Arial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SA-14.1</w:t>
            </w:r>
          </w:p>
        </w:tc>
        <w:tc>
          <w:tcPr>
            <w:tcW w:type="dxa" w:w="864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Font size 9 pt is outside firm standard [10, 11, 12, 14]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45 characters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Body para 19: 'A paragraph typed in the wrong font and size.'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[10, 11, 12, 14]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SA-15.1</w:t>
            </w:r>
          </w:p>
        </w:tc>
        <w:tc>
          <w:tcPr>
            <w:tcW w:type="dxa" w:w="864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Page margins differ from firm standard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left 1.00 in (std 1.3)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Section 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L1.3 T1.5 R/B 1|0.75|0.5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left 1.00 in (std 1.3)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SA-16.1</w:t>
            </w:r>
          </w:p>
        </w:tc>
        <w:tc>
          <w:tcPr>
            <w:tcW w:type="dxa" w:w="864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Narrative paragraphs are not justified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paragraph(s) of 25+ words are not justified; first: Body para 4: 'The Directors present their report together with t'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Body para 4: 'The Directors present their report together with t'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Justified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Left/other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spacing w:before="240"/>
      </w:pPr>
      <w:r>
        <w:rPr>
          <w:b/>
          <w:sz w:val="22"/>
        </w:rPr>
        <w:t>4. Exceptions and items not fully checked by the software (checks that passed are not repeated)</w:t>
      </w:r>
    </w:p>
    <w:p>
      <w:r>
        <w:rPr>
          <w:sz w:val="18"/>
        </w:rPr>
        <w:t>EXC = exception (section 2); ASSIST = software extracted the evidence, reviewer confirms; r = not run or manual.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728"/>
        <w:gridCol w:w="4608"/>
        <w:gridCol w:w="720"/>
        <w:gridCol w:w="1008"/>
        <w:gridCol w:w="4896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18"/>
              </w:rPr>
              <w:t>Note / evidence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Identity and legal 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Company name, emirate, activity and year-end agree to trade licence on cover, page 2, headers, Directors' report, FS and notes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Identity and legal 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Authorised signatory name spelling agrees to legal documents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Identity and legal 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Number of FS signatories vs shareholders; Board Resolution on file where signatory is not all shareholders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Identity and legal 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Current/previous year labels, period-end dates and stray years are consistent across the whole pack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3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Auditor's report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Audit report date present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Auditor's report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Partner audit licence number and report reference number present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2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Auditor's report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Licensing authority named in 'other legal and regulatory requirements' is the client's authority and no other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2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Auditor's report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Addressee singular/plural agrees to number of shareholders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Auditor's report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Opinion wording, qualification, emphasis of matter, going concern, related-party and inventory paragraphs (ISA 700/705/706/570)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Opinion looks unmodified. Sections present: []. Missing: ['Basis for opinion', 'Key audit matters', 'Emphasis of matter', 'Material uncertainty - going concern', 'Other information', 'Responsibilities of management', "Auditor's responsibilities"]. ISA 700/705/706/570: confirm wording, going concern, related party and inventory paragraphs.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Formatting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Font family is Times New Roman throughout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Formatting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Font sizes within firm standard (headings 14/12; content 10/11)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Formatting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Margins: left 1.3 in, top 1.5 in, right/bottom 1 / 0.75 / 0.5 in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Formatting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Narrative paragraphs justified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Formatting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Page numbers in sequence; index entries match headings and pages; '(continued)' labels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Index/contents page present: False. '(continued)' labels: 0. Word: update the index field before PDF conversion.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Arithmetic and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Statement of financial position balances (CY and PY)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Arithmetic and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Cash flow closing cash equals cash and bank in the SOFP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Arithmetic and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Client TB agrees to FS (assets, liabilities, equity, profit) and to lead schedule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4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Arithmetic and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Directors' report results, graph and ratios agree to P&amp;L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 revenue figure stated in the Directors' report narrative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Arithmetic and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G&amp;A expenses in descending order; other G&amp;A &lt;= 5% of gross profit; audit fee recorded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General and administrative expenses breakdown not found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Arithmetic and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Forex gain in finance income, loss in finance cost; currency-risk net exposure ties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Finance income / finance cost note tables not found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Disclosures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Mandatory notes present: end-of-service benefits, VAT/duties and taxes, PPE useful lives or nil statement, corporate tax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Disclosures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Standards adopted / issued-not-yet-effective list matches the reporting year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Disclosures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Statement of compliance cites the right law for the licensing authority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Authority DMCC. Wording found: none. Confirm it names the correct law for this authority (e.g. Federal Decree-Law No. 32 of 2021 for mainland / the free-zone company law).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Disclosures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Accounting policies and disclosures comply with IFRS (IFRS 9 ECL, IFRS 16, IAS 24, IAS 12)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Policies mentioned: ['IFRS 9 / ECL', 'IAS 12 / corporate tax', 'IAS 16 PPE']. Not found in the notes: ['IFRS 15 revenue', 'IFRS 16 leases', 'IAS 24 related parties', 'IAS 1 going concern', 'IAS 19 / EOSB']. Confirm applicability and IFRS-compliant wording.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 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Every material SOFP/P&amp;L item has a completed audit procedure and working paper saved on the server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Retained earnings (250,000); Revenue (2,000,000); Cost of revenue (1,400,000); Gross profit (600,000); General and administrative expenses (500,000); Balance at 1 January 2025 (300,000); Balance at 31 December 2025 (300,000)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 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Confirmations (bank, debtors, creditors) received; bank vs book; BRS differences; stale cheques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Cash and bank balances 80,000 (Table 1, row 2); Trade receivables 420,000 (Table 1, row 3); Trade and other payables 350,000 (Table 1, row 10)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 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Legal cases, unusual legal fees and contingencies identified and disclosed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References found: none - confirm none exist (legal confirmation). Check unusual legal fees in the G&amp;A note.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 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Bank loans: confirmation, covenants, current/non-current classification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Mentions: none. Current/non-current split wording present: False. Obtain bank confirmation; check covenants and classification (IAS 1).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SA-39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 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Associates, subsidiaries, JVs, branches, goodwill and related companies liquidated in year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References: ['effective: IFRS 19 Subsidiaries without Public Accountability; Amendments to the Classification and Measurement of Financial Instruments (IFRS 9 and IFRS 7). | Note |']. Check the licence/MOA for branches and group companies, and whether any entity was liquidated or deregistered in the year.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 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Related-party balances agree to TP report and to counterparties' FS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Enter 'tp_related_party_total' in the fact sheet (from the TP report) to compare related-party balances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 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Depreciation, PPE, amortisation schedules and lease accounting under IFRS 16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 xml:space="preserve">Reviewer to confirm: PPE on SOFP: 300,000 (Table 1, row 5). 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Audit 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Statutory dues, WPS status and end-of-service gratuity calculation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No EOSB balance found. Wording: none. Recompute gratuity (UAE Labour Law: 21 days/yr for first 5 years, 30 days after) and check WPS status.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Tax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CT payable per FS agrees to CT working and to return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Enter 'ct_payable_working' (from the CT working sheet) in the fact sheet to compare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Tax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VAT dues and CT payable agree to FTA portal statements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VAT/duties: [12.0, 50000.0] (Table 1, row 12); corporate tax: not found (). Agree each to the EmaraTax statement of account.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Tax tie-outs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Sales per books reconcile to VAT returns, including cross-year differences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Enter 'vat_turnover' (total of box-1 to box-7 turnover for the year) in the fact sheet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Process gates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All lower review levels completed before Partner stage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Process gates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'FS ready before print' checklist completed after all reviews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SA-48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Process gates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Collection status cross-checked by admin before release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Confirm with admin that fees are collected before release; record name and date in the review log.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SA-51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Process gates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Professional scepticism areas: estimates, management override, unusual transactions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4 statements found: reciated over their useful lives of 3 to 5 years. Trade receivables are stated net of the expected credit loss (IFRS 9 | e stated net of the expected credit loss (IFRS 9 simplified approach). Ageing of trade receivables: The Company is registered for | | 350,000 | 330,000 Provision for staff terminal benefits | 11 | 50,000 | 40,000 Duties and taxes payable | 12 | 50,000 | 10 350,000 330,000 Provis</w:t>
            </w:r>
          </w:p>
        </w:tc>
      </w:tr>
    </w:tbl>
    <w:p/>
    <w:p>
      <w:pPr>
        <w:spacing w:before="240"/>
      </w:pPr>
      <w:r>
        <w:rPr>
          <w:b/>
          <w:sz w:val="22"/>
        </w:rP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>
              <w:t>Prepared by</w:t>
            </w:r>
          </w:p>
        </w:tc>
        <w:tc>
          <w:tcPr>
            <w:tcW w:type="dxa" w:w="2707"/>
          </w:tcPr>
          <w:p>
            <w:r>
              <w:t>First review</w:t>
            </w:r>
          </w:p>
        </w:tc>
        <w:tc>
          <w:tcPr>
            <w:tcW w:type="dxa" w:w="2707"/>
          </w:tcPr>
          <w:p>
            <w:r>
              <w:t>Manager review</w:t>
            </w:r>
          </w:p>
        </w:tc>
        <w:tc>
          <w:tcPr>
            <w:tcW w:type="dxa" w:w="2707"/>
          </w:tcPr>
          <w:p>
            <w:r>
              <w:t>Partner review</w:t>
            </w:r>
          </w:p>
        </w:tc>
      </w:tr>
      <w:tr>
        <w:tc>
          <w:tcPr>
            <w:tcW w:type="dxa" w:w="2707"/>
          </w:tcPr>
          <w:p>
            <w:r>
              <w:t>Name</w:t>
            </w:r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</w:tr>
      <w:tr>
        <w:tc>
          <w:tcPr>
            <w:tcW w:type="dxa" w:w="2707"/>
          </w:tcPr>
          <w:p>
            <w:r>
              <w:t>Date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  <w:tr>
        <w:tc>
          <w:tcPr>
            <w:tcW w:type="dxa" w:w="2707"/>
          </w:tcPr>
          <w:p>
            <w:r>
              <w:t>Sign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</w:tbl>
    <w:p/>
    <w:p>
      <w:r>
        <w:rPr>
          <w:sz w:val="16"/>
        </w:rPr>
        <w:t>Input integrity (SHA-256): fs_errors.docx: e143b2512c564400...; engagement_errors.yaml: af10049580af1751...; tb_errors.xlsx: ed2a3ed558771ef6...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