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32"/>
        </w:rPr>
        <w:t>ICAI AICA LEVEL-2</w:t>
      </w:r>
    </w:p>
    <w:p>
      <w:pPr>
        <w:jc w:val="center"/>
      </w:pPr>
      <w:r>
        <w:rPr>
          <w:b/>
          <w:color w:val="17365D"/>
          <w:sz w:val="44"/>
        </w:rPr>
        <w:t>CAPSTONE PROJECT REPORT</w:t>
      </w:r>
    </w:p>
    <w:p/>
    <w:p>
      <w:pPr>
        <w:jc w:val="center"/>
      </w:pPr>
      <w:r>
        <w:rPr>
          <w:b/>
          <w:color w:val="1F4E79"/>
          <w:sz w:val="50"/>
        </w:rPr>
        <w:t>CA Statutory Compliance &amp; Notice</w:t>
        <w:br/>
        <w:t>Intelligence Assistant</w:t>
      </w:r>
    </w:p>
    <w:p/>
    <w:p>
      <w:pPr>
        <w:jc w:val="center"/>
      </w:pPr>
      <w:r>
        <w:rPr>
          <w:i/>
          <w:sz w:val="24"/>
        </w:rPr>
        <w:t>An AI-assisted workflow for statutory notice analysis,</w:t>
        <w:br/>
        <w:t>compliance visualization and risk prioritization</w:t>
      </w:r>
    </w:p>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2F5597"/>
          </w:tcPr>
          <w:p>
            <w:r/>
            <w:r>
              <w:rPr>
                <w:rFonts w:ascii="Aptos" w:hAnsi="Aptos"/>
                <w:b/>
                <w:color w:val="FFFFFF"/>
                <w:sz w:val="19"/>
              </w:rPr>
              <w:t>Prepared by</w:t>
            </w:r>
          </w:p>
        </w:tc>
        <w:tc>
          <w:tcPr>
            <w:tcW w:type="dxa" w:w="6336"/>
            <w:vAlign w:val="center"/>
          </w:tcPr>
          <w:p>
            <w:r/>
            <w:r>
              <w:rPr>
                <w:rFonts w:ascii="Aptos" w:hAnsi="Aptos"/>
                <w:b w:val="0"/>
                <w:sz w:val="19"/>
              </w:rPr>
              <w:t>CA R C Hasija</w:t>
            </w:r>
          </w:p>
        </w:tc>
      </w:tr>
      <w:tr>
        <w:tc>
          <w:tcPr>
            <w:tcW w:type="dxa" w:w="2592"/>
            <w:vAlign w:val="center"/>
            <w:shd w:fill="2F5597"/>
          </w:tcPr>
          <w:p>
            <w:r/>
            <w:r>
              <w:rPr>
                <w:rFonts w:ascii="Aptos" w:hAnsi="Aptos"/>
                <w:b/>
                <w:color w:val="FFFFFF"/>
                <w:sz w:val="19"/>
              </w:rPr>
              <w:t>Programme</w:t>
            </w:r>
          </w:p>
        </w:tc>
        <w:tc>
          <w:tcPr>
            <w:tcW w:type="dxa" w:w="6336"/>
            <w:vAlign w:val="center"/>
          </w:tcPr>
          <w:p>
            <w:r/>
            <w:r>
              <w:rPr>
                <w:rFonts w:ascii="Aptos" w:hAnsi="Aptos"/>
                <w:b w:val="0"/>
                <w:sz w:val="19"/>
              </w:rPr>
              <w:t>ICAI AICA Level-2</w:t>
            </w:r>
          </w:p>
        </w:tc>
      </w:tr>
      <w:tr>
        <w:tc>
          <w:tcPr>
            <w:tcW w:type="dxa" w:w="2592"/>
            <w:vAlign w:val="center"/>
            <w:shd w:fill="2F5597"/>
          </w:tcPr>
          <w:p>
            <w:r/>
            <w:r>
              <w:rPr>
                <w:rFonts w:ascii="Aptos" w:hAnsi="Aptos"/>
                <w:b/>
                <w:color w:val="FFFFFF"/>
                <w:sz w:val="19"/>
              </w:rPr>
              <w:t>Project Type</w:t>
            </w:r>
          </w:p>
        </w:tc>
        <w:tc>
          <w:tcPr>
            <w:tcW w:type="dxa" w:w="6336"/>
            <w:vAlign w:val="center"/>
          </w:tcPr>
          <w:p>
            <w:r/>
            <w:r>
              <w:rPr>
                <w:rFonts w:ascii="Aptos" w:hAnsi="Aptos"/>
                <w:b w:val="0"/>
                <w:sz w:val="19"/>
              </w:rPr>
              <w:t>Individual Capstone Demonstration</w:t>
            </w:r>
          </w:p>
        </w:tc>
      </w:tr>
      <w:tr>
        <w:tc>
          <w:tcPr>
            <w:tcW w:type="dxa" w:w="2592"/>
            <w:vAlign w:val="center"/>
            <w:shd w:fill="2F5597"/>
          </w:tcPr>
          <w:p>
            <w:r/>
            <w:r>
              <w:rPr>
                <w:rFonts w:ascii="Aptos" w:hAnsi="Aptos"/>
                <w:b/>
                <w:color w:val="FFFFFF"/>
                <w:sz w:val="19"/>
              </w:rPr>
              <w:t>Data Policy</w:t>
            </w:r>
          </w:p>
        </w:tc>
        <w:tc>
          <w:tcPr>
            <w:tcW w:type="dxa" w:w="6336"/>
            <w:vAlign w:val="center"/>
          </w:tcPr>
          <w:p>
            <w:r/>
            <w:r>
              <w:rPr>
                <w:rFonts w:ascii="Aptos" w:hAnsi="Aptos"/>
                <w:b w:val="0"/>
                <w:sz w:val="19"/>
              </w:rPr>
              <w:t>Dummy / Demonstration Data Only</w:t>
            </w:r>
          </w:p>
        </w:tc>
      </w:tr>
    </w:tbl>
    <w:p/>
    <w:p>
      <w:pPr>
        <w:jc w:val="center"/>
      </w:pPr>
      <w:r>
        <w:rPr>
          <w:color w:val="595959"/>
          <w:sz w:val="20"/>
        </w:rPr>
        <w:t>Prepared: August 2026</w:t>
      </w:r>
    </w:p>
    <w:p>
      <w:r>
        <w:br w:type="page"/>
      </w:r>
    </w:p>
    <w:p>
      <w:pPr>
        <w:pStyle w:val="Heading1"/>
      </w:pPr>
      <w:r>
        <w:t>1. Executive Summary</w:t>
      </w:r>
    </w:p>
    <w:p>
      <w:r>
        <w:t>The CA Statutory Compliance &amp; Notice Intelligence Assistant is a practical capstone project designed to demonstrate how AI-assisted tools and Python can support a Chartered Accountant or compliance team in handling statutory notices and recurring compliance work. The project uses dummy data only and combines document analysis, structured compliance data, dashboard visualization, AI-assisted application development, and rule-based risk prioritization into one coherent workflow.</w:t>
      </w:r>
    </w:p>
    <w:p>
      <w:r>
        <w:t>The project is not intended to replace professional judgement. Its purpose is to show how the concepts covered during the ICAI AICA Level-2 programme can be applied to a realistic professional use case while maintaining human review and control.</w:t>
      </w:r>
    </w:p>
    <w:p>
      <w:pPr>
        <w:pStyle w:val="Heading1"/>
      </w:pPr>
      <w:r>
        <w:t>2. Problem Statement</w:t>
      </w:r>
    </w:p>
    <w:p>
      <w:r>
        <w:t>Professional firms and finance/compliance teams often manage multiple statutory obligations across Income Tax, GST, TDS, ROC, PF, ESI and internal compliance. Notices and deadlines may be distributed across documents, spreadsheets and portals. The practical challenge is to identify the issue quickly, determine the due date, assess risk, assign responsibility, reconcile supporting data and monitor pending work.</w:t>
      </w:r>
    </w:p>
    <w:p>
      <w:pPr>
        <w:pStyle w:val="Heading1"/>
      </w:pPr>
      <w:r>
        <w:t>3. Project Objectives</w:t>
      </w:r>
    </w:p>
    <w:p>
      <w:pPr>
        <w:pStyle w:val="ListBullet"/>
      </w:pPr>
      <w:r>
        <w:t>Demonstrate AI-assisted reading and analysis of a dummy statutory notice.</w:t>
      </w:r>
    </w:p>
    <w:p>
      <w:pPr>
        <w:pStyle w:val="ListBullet"/>
      </w:pPr>
      <w:r>
        <w:t>Convert compliance information into a structured dataset suitable for monitoring.</w:t>
      </w:r>
    </w:p>
    <w:p>
      <w:pPr>
        <w:pStyle w:val="ListBullet"/>
      </w:pPr>
      <w:r>
        <w:t>Create a management dashboard showing status, risk exposure, deadlines and responsible teams.</w:t>
      </w:r>
    </w:p>
    <w:p>
      <w:pPr>
        <w:pStyle w:val="ListBullet"/>
      </w:pPr>
      <w:r>
        <w:t>Demonstrate AI-assisted Python application development through an IDE workflow.</w:t>
      </w:r>
    </w:p>
    <w:p>
      <w:pPr>
        <w:pStyle w:val="ListBullet"/>
      </w:pPr>
      <w:r>
        <w:t>Build and test a simple desktop Compliance Risk Analyzer using Python and Tkinter.</w:t>
      </w:r>
    </w:p>
    <w:p>
      <w:pPr>
        <w:pStyle w:val="ListBullet"/>
      </w:pPr>
      <w:r>
        <w:t>Maintain clear evidence through screenshots and organized project folders.</w:t>
      </w:r>
    </w:p>
    <w:p>
      <w:pPr>
        <w:pStyle w:val="ListBullet"/>
      </w:pPr>
      <w:r>
        <w:t>Show a human-in-the-loop approach in which AI outputs remain subject to professional review.</w:t>
      </w:r>
    </w:p>
    <w:p>
      <w:pPr>
        <w:pStyle w:val="Heading1"/>
      </w:pPr>
      <w:r>
        <w:t>4. Scope and Limitations</w:t>
      </w:r>
    </w:p>
    <w:p>
      <w:r>
        <w:t>The prototype focuses on a controlled demonstration using dummy information. It does not connect directly to the Income-tax, GST, MCA or other government portals; it does not automatically file responses; and it does not provide legal or tax advice. Dates, amounts, entity names and compliance records used in the demonstration are illustrative. Any real-world deployment would require validation, security controls, access management, data privacy safeguards and professional review.</w:t>
      </w:r>
    </w:p>
    <w:p>
      <w:pPr>
        <w:pStyle w:val="Heading1"/>
      </w:pPr>
      <w:r>
        <w:t>5. Tools and Technologies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
              <w:rPr>
                <w:rFonts w:ascii="Aptos" w:hAnsi="Aptos"/>
                <w:b/>
                <w:color w:val="FFFFFF"/>
                <w:sz w:val="19"/>
              </w:rPr>
              <w:t>Tool / Technology</w:t>
            </w:r>
          </w:p>
        </w:tc>
        <w:tc>
          <w:tcPr>
            <w:tcW w:type="dxa" w:w="3360"/>
            <w:vAlign w:val="center"/>
            <w:shd w:fill="2F5597"/>
          </w:tcPr>
          <w:p>
            <w:r/>
            <w:r>
              <w:rPr>
                <w:rFonts w:ascii="Aptos" w:hAnsi="Aptos"/>
                <w:b/>
                <w:color w:val="FFFFFF"/>
                <w:sz w:val="19"/>
              </w:rPr>
              <w:t>Role in Project</w:t>
            </w:r>
          </w:p>
        </w:tc>
        <w:tc>
          <w:tcPr>
            <w:tcW w:type="dxa" w:w="3360"/>
            <w:vAlign w:val="center"/>
            <w:shd w:fill="2F5597"/>
          </w:tcPr>
          <w:p>
            <w:r/>
            <w:r>
              <w:rPr>
                <w:rFonts w:ascii="Aptos" w:hAnsi="Aptos"/>
                <w:b/>
                <w:color w:val="FFFFFF"/>
                <w:sz w:val="19"/>
              </w:rPr>
              <w:t>Demonstrated Output</w:t>
            </w:r>
          </w:p>
        </w:tc>
      </w:tr>
      <w:tr>
        <w:tc>
          <w:tcPr>
            <w:tcW w:type="dxa" w:w="3360"/>
            <w:vAlign w:val="center"/>
          </w:tcPr>
          <w:p>
            <w:r/>
            <w:r>
              <w:rPr>
                <w:rFonts w:ascii="Aptos" w:hAnsi="Aptos"/>
                <w:b w:val="0"/>
                <w:sz w:val="19"/>
              </w:rPr>
              <w:t>Google AI Studio</w:t>
            </w:r>
          </w:p>
        </w:tc>
        <w:tc>
          <w:tcPr>
            <w:tcW w:type="dxa" w:w="3360"/>
            <w:vAlign w:val="center"/>
          </w:tcPr>
          <w:p>
            <w:r/>
            <w:r>
              <w:rPr>
                <w:rFonts w:ascii="Aptos" w:hAnsi="Aptos"/>
                <w:b w:val="0"/>
                <w:sz w:val="19"/>
              </w:rPr>
              <w:t>AI-assisted analysis of the dummy statutory notice</w:t>
            </w:r>
          </w:p>
        </w:tc>
        <w:tc>
          <w:tcPr>
            <w:tcW w:type="dxa" w:w="3360"/>
            <w:vAlign w:val="center"/>
          </w:tcPr>
          <w:p>
            <w:r/>
            <w:r>
              <w:rPr>
                <w:rFonts w:ascii="Aptos" w:hAnsi="Aptos"/>
                <w:b w:val="0"/>
                <w:sz w:val="19"/>
              </w:rPr>
              <w:t>Structured notice analysis, discrepancy identification and deadline summary</w:t>
            </w:r>
          </w:p>
        </w:tc>
      </w:tr>
      <w:tr>
        <w:tc>
          <w:tcPr>
            <w:tcW w:type="dxa" w:w="3360"/>
            <w:vAlign w:val="center"/>
          </w:tcPr>
          <w:p>
            <w:r/>
            <w:r>
              <w:rPr>
                <w:rFonts w:ascii="Aptos" w:hAnsi="Aptos"/>
                <w:b w:val="0"/>
                <w:sz w:val="19"/>
              </w:rPr>
              <w:t>Microsoft Excel</w:t>
            </w:r>
          </w:p>
        </w:tc>
        <w:tc>
          <w:tcPr>
            <w:tcW w:type="dxa" w:w="3360"/>
            <w:vAlign w:val="center"/>
          </w:tcPr>
          <w:p>
            <w:r/>
            <w:r>
              <w:rPr>
                <w:rFonts w:ascii="Aptos" w:hAnsi="Aptos"/>
                <w:b w:val="0"/>
                <w:sz w:val="19"/>
              </w:rPr>
              <w:t>Preparation of dummy compliance dataset</w:t>
            </w:r>
          </w:p>
        </w:tc>
        <w:tc>
          <w:tcPr>
            <w:tcW w:type="dxa" w:w="3360"/>
            <w:vAlign w:val="center"/>
          </w:tcPr>
          <w:p>
            <w:r/>
            <w:r>
              <w:rPr>
                <w:rFonts w:ascii="Aptos" w:hAnsi="Aptos"/>
                <w:b w:val="0"/>
                <w:sz w:val="19"/>
              </w:rPr>
              <w:t>Dummy_Compliance_Data.xlsx</w:t>
            </w:r>
          </w:p>
        </w:tc>
      </w:tr>
      <w:tr>
        <w:tc>
          <w:tcPr>
            <w:tcW w:type="dxa" w:w="3360"/>
            <w:vAlign w:val="center"/>
          </w:tcPr>
          <w:p>
            <w:r/>
            <w:r>
              <w:rPr>
                <w:rFonts w:ascii="Aptos" w:hAnsi="Aptos"/>
                <w:b w:val="0"/>
                <w:sz w:val="19"/>
              </w:rPr>
              <w:t>Bricks</w:t>
            </w:r>
          </w:p>
        </w:tc>
        <w:tc>
          <w:tcPr>
            <w:tcW w:type="dxa" w:w="3360"/>
            <w:vAlign w:val="center"/>
          </w:tcPr>
          <w:p>
            <w:r/>
            <w:r>
              <w:rPr>
                <w:rFonts w:ascii="Aptos" w:hAnsi="Aptos"/>
                <w:b w:val="0"/>
                <w:sz w:val="19"/>
              </w:rPr>
              <w:t>Data visualization and dashboard generation</w:t>
            </w:r>
          </w:p>
        </w:tc>
        <w:tc>
          <w:tcPr>
            <w:tcW w:type="dxa" w:w="3360"/>
            <w:vAlign w:val="center"/>
          </w:tcPr>
          <w:p>
            <w:r/>
            <w:r>
              <w:rPr>
                <w:rFonts w:ascii="Aptos" w:hAnsi="Aptos"/>
                <w:b w:val="0"/>
                <w:sz w:val="19"/>
              </w:rPr>
              <w:t>CA Statutory Compliance &amp; Notice Intelligence Dashboard</w:t>
            </w:r>
          </w:p>
        </w:tc>
      </w:tr>
      <w:tr>
        <w:tc>
          <w:tcPr>
            <w:tcW w:type="dxa" w:w="3360"/>
            <w:vAlign w:val="center"/>
          </w:tcPr>
          <w:p>
            <w:r/>
            <w:r>
              <w:rPr>
                <w:rFonts w:ascii="Aptos" w:hAnsi="Aptos"/>
                <w:b w:val="0"/>
                <w:sz w:val="19"/>
              </w:rPr>
              <w:t>Antigravity IDE</w:t>
            </w:r>
          </w:p>
        </w:tc>
        <w:tc>
          <w:tcPr>
            <w:tcW w:type="dxa" w:w="3360"/>
            <w:vAlign w:val="center"/>
          </w:tcPr>
          <w:p>
            <w:r/>
            <w:r>
              <w:rPr>
                <w:rFonts w:ascii="Aptos" w:hAnsi="Aptos"/>
                <w:b w:val="0"/>
                <w:sz w:val="19"/>
              </w:rPr>
              <w:t>AI-assisted development workspace / prompt preparation</w:t>
            </w:r>
          </w:p>
        </w:tc>
        <w:tc>
          <w:tcPr>
            <w:tcW w:type="dxa" w:w="3360"/>
            <w:vAlign w:val="center"/>
          </w:tcPr>
          <w:p>
            <w:r/>
            <w:r>
              <w:rPr>
                <w:rFonts w:ascii="Aptos" w:hAnsi="Aptos"/>
                <w:b w:val="0"/>
                <w:sz w:val="19"/>
              </w:rPr>
              <w:t>Capstone workspace and Python-development evidence</w:t>
            </w:r>
          </w:p>
        </w:tc>
      </w:tr>
      <w:tr>
        <w:tc>
          <w:tcPr>
            <w:tcW w:type="dxa" w:w="3360"/>
            <w:vAlign w:val="center"/>
          </w:tcPr>
          <w:p>
            <w:r/>
            <w:r>
              <w:rPr>
                <w:rFonts w:ascii="Aptos" w:hAnsi="Aptos"/>
                <w:b w:val="0"/>
                <w:sz w:val="19"/>
              </w:rPr>
              <w:t>Python 3</w:t>
            </w:r>
          </w:p>
        </w:tc>
        <w:tc>
          <w:tcPr>
            <w:tcW w:type="dxa" w:w="3360"/>
            <w:vAlign w:val="center"/>
          </w:tcPr>
          <w:p>
            <w:r/>
            <w:r>
              <w:rPr>
                <w:rFonts w:ascii="Aptos" w:hAnsi="Aptos"/>
                <w:b w:val="0"/>
                <w:sz w:val="19"/>
              </w:rPr>
              <w:t>Application logic</w:t>
            </w:r>
          </w:p>
        </w:tc>
        <w:tc>
          <w:tcPr>
            <w:tcW w:type="dxa" w:w="3360"/>
            <w:vAlign w:val="center"/>
          </w:tcPr>
          <w:p>
            <w:r/>
            <w:r>
              <w:rPr>
                <w:rFonts w:ascii="Aptos" w:hAnsi="Aptos"/>
                <w:b w:val="0"/>
                <w:sz w:val="19"/>
              </w:rPr>
              <w:t>CA Statutory Compliance Risk Analyzer</w:t>
            </w:r>
          </w:p>
        </w:tc>
      </w:tr>
      <w:tr>
        <w:tc>
          <w:tcPr>
            <w:tcW w:type="dxa" w:w="3360"/>
            <w:vAlign w:val="center"/>
          </w:tcPr>
          <w:p>
            <w:r/>
            <w:r>
              <w:rPr>
                <w:rFonts w:ascii="Aptos" w:hAnsi="Aptos"/>
                <w:b w:val="0"/>
                <w:sz w:val="19"/>
              </w:rPr>
              <w:t>Tkinter</w:t>
            </w:r>
          </w:p>
        </w:tc>
        <w:tc>
          <w:tcPr>
            <w:tcW w:type="dxa" w:w="3360"/>
            <w:vAlign w:val="center"/>
          </w:tcPr>
          <w:p>
            <w:r/>
            <w:r>
              <w:rPr>
                <w:rFonts w:ascii="Aptos" w:hAnsi="Aptos"/>
                <w:b w:val="0"/>
                <w:sz w:val="19"/>
              </w:rPr>
              <w:t>Desktop graphical user interface</w:t>
            </w:r>
          </w:p>
        </w:tc>
        <w:tc>
          <w:tcPr>
            <w:tcW w:type="dxa" w:w="3360"/>
            <w:vAlign w:val="center"/>
          </w:tcPr>
          <w:p>
            <w:r/>
            <w:r>
              <w:rPr>
                <w:rFonts w:ascii="Aptos" w:hAnsi="Aptos"/>
                <w:b w:val="0"/>
                <w:sz w:val="19"/>
              </w:rPr>
              <w:t>Input form and risk-analysis result window</w:t>
            </w:r>
          </w:p>
        </w:tc>
      </w:tr>
      <w:tr>
        <w:tc>
          <w:tcPr>
            <w:tcW w:type="dxa" w:w="3360"/>
            <w:vAlign w:val="center"/>
          </w:tcPr>
          <w:p>
            <w:r/>
            <w:r>
              <w:rPr>
                <w:rFonts w:ascii="Aptos" w:hAnsi="Aptos"/>
                <w:b w:val="0"/>
                <w:sz w:val="19"/>
              </w:rPr>
              <w:t>Word / PDF</w:t>
            </w:r>
          </w:p>
        </w:tc>
        <w:tc>
          <w:tcPr>
            <w:tcW w:type="dxa" w:w="3360"/>
            <w:vAlign w:val="center"/>
          </w:tcPr>
          <w:p>
            <w:r/>
            <w:r>
              <w:rPr>
                <w:rFonts w:ascii="Aptos" w:hAnsi="Aptos"/>
                <w:b w:val="0"/>
                <w:sz w:val="19"/>
              </w:rPr>
              <w:t>Dummy notice preparation and project documentation</w:t>
            </w:r>
          </w:p>
        </w:tc>
        <w:tc>
          <w:tcPr>
            <w:tcW w:type="dxa" w:w="3360"/>
            <w:vAlign w:val="center"/>
          </w:tcPr>
          <w:p>
            <w:r/>
            <w:r>
              <w:rPr>
                <w:rFonts w:ascii="Aptos" w:hAnsi="Aptos"/>
                <w:b w:val="0"/>
                <w:sz w:val="19"/>
              </w:rPr>
              <w:t>Dummy_Income_Tax_Notice files and final report</w:t>
            </w:r>
          </w:p>
        </w:tc>
      </w:tr>
    </w:tbl>
    <w:p>
      <w:pPr>
        <w:pStyle w:val="Heading1"/>
      </w:pPr>
      <w:r>
        <w:t>6. Project Folder Structure</w:t>
      </w:r>
    </w:p>
    <w:p>
      <w:r>
        <w:t>AICA_LEVEL2_CAPSTONE</w:t>
        <w:br/>
        <w:t>├── 01_Dummy_Data</w:t>
        <w:br/>
        <w:t>│   ├── Dummy_Income_Tax_Notice.docx</w:t>
        <w:br/>
        <w:t>│   ├── Dummy_Income_Tax_Notice.pdf</w:t>
        <w:br/>
        <w:t>│   └── Dummy_Compliance_Data.xlsx</w:t>
        <w:br/>
        <w:t>├── 02_AI-Analysis</w:t>
        <w:br/>
        <w:t>├── 03_Dashboard</w:t>
        <w:br/>
        <w:t>├── 04_Screenshots</w:t>
        <w:br/>
        <w:t>│   ├── 01_AI_Studio_Notice_Analysis.png</w:t>
        <w:br/>
        <w:t>│   ├── 02_AI_Studio_Notice_Analysis.png</w:t>
        <w:br/>
        <w:t>│   ├── 03_Bricks_Dashboard_Overview.png</w:t>
        <w:br/>
        <w:t>│   ├── 04_Bricks_Dashboard_Risk_Analysis.png</w:t>
        <w:br/>
        <w:t>│   ├── 05_Antigravity_AI_Assisted_Development.png</w:t>
        <w:br/>
        <w:t>│   └── 06_Python_Risk_Analyzer.png</w:t>
        <w:br/>
        <w:t>├── 05_Final_Submission</w:t>
        <w:br/>
        <w:t>└── 06_Risk_Analyzer</w:t>
        <w:br/>
        <w:t xml:space="preserve">    ├── risk_analyzer.py</w:t>
        <w:br/>
        <w:t xml:space="preserve">    └── README.txt</w:t>
      </w:r>
    </w:p>
    <w:p>
      <w:pPr>
        <w:pStyle w:val="Heading1"/>
      </w:pPr>
      <w:r>
        <w:t>7. End-to-End Workflow</w:t>
      </w:r>
    </w:p>
    <w:p>
      <w:r>
        <w:rPr>
          <w:b/>
          <w:color w:val="2F5597"/>
        </w:rPr>
        <w:t xml:space="preserve">Step 1 - Dummy Notice: </w:t>
      </w:r>
      <w:r>
        <w:t>A dummy Income Tax notice was prepared for ABC Manufacturing Private Limited. The demonstration notice highlighted a discrepancy of ₹18,75,000 and a response due date of 25 August 2026.</w:t>
      </w:r>
    </w:p>
    <w:p>
      <w:r>
        <w:rPr>
          <w:b/>
          <w:color w:val="2F5597"/>
        </w:rPr>
        <w:t xml:space="preserve">Step 2 - AI Notice Analysis: </w:t>
      </w:r>
      <w:r>
        <w:t>The PDF notice was provided to Google AI Studio. The model was asked to identify the nature of the issue, relevant discrepancy, reconciliation steps, evidence requirements and deadline.</w:t>
      </w:r>
    </w:p>
    <w:p>
      <w:r>
        <w:rPr>
          <w:b/>
          <w:color w:val="2F5597"/>
        </w:rPr>
        <w:t xml:space="preserve">Step 3 - Compliance Dataset: </w:t>
      </w:r>
      <w:r>
        <w:t>A structured Excel file was prepared containing multiple compliance categories, status, due dates, risk levels, days pending and responsible teams.</w:t>
      </w:r>
    </w:p>
    <w:p>
      <w:r>
        <w:rPr>
          <w:b/>
          <w:color w:val="2F5597"/>
        </w:rPr>
        <w:t xml:space="preserve">Step 4 - Dashboard: </w:t>
      </w:r>
      <w:r>
        <w:t>The Excel file was uploaded to Bricks and used to generate the CA Statutory Compliance &amp; Notice Intelligence Dashboard. The dashboard summarized total items, completed/pending/overdue work, risk mix, compliance type and high-risk responsibility.</w:t>
      </w:r>
    </w:p>
    <w:p>
      <w:r>
        <w:rPr>
          <w:b/>
          <w:color w:val="2F5597"/>
        </w:rPr>
        <w:t xml:space="preserve">Step 5 - AI-Assisted Development: </w:t>
      </w:r>
      <w:r>
        <w:t>The AICA_LEVEL2_CAPSTONE folder was opened in Antigravity IDE and a detailed prompt was prepared for a Python desktop risk-analysis application. A screenshot was retained as evidence of the AI-assisted development workflow.</w:t>
      </w:r>
    </w:p>
    <w:p>
      <w:r>
        <w:rPr>
          <w:b/>
          <w:color w:val="2F5597"/>
        </w:rPr>
        <w:t xml:space="preserve">Step 6 - Python Risk Analyzer: </w:t>
      </w:r>
      <w:r>
        <w:t>A Python/Tkinter desktop application was created and tested. The application accepts compliance type, particulars, due date, current status, risk level, responsible person and remarks, then calculates deadline position and displays a priority classification with a recommended action.</w:t>
      </w:r>
    </w:p>
    <w:p>
      <w:r>
        <w:rPr>
          <w:b/>
          <w:color w:val="2F5597"/>
        </w:rPr>
        <w:t xml:space="preserve">Step 7 - Evidence and Submission: </w:t>
      </w:r>
      <w:r>
        <w:t>Screenshots, source files, README documentation and the final project report are organized for GitHub upload and video demonstration.</w:t>
      </w:r>
    </w:p>
    <w:p>
      <w:pPr>
        <w:pStyle w:val="Heading1"/>
      </w:pPr>
      <w:r>
        <w:t>8. Google AI Studio - Notice Intelligence Component</w:t>
      </w:r>
    </w:p>
    <w:p>
      <w:r>
        <w:t>The notice-analysis component demonstrates document understanding and structured reasoning. The AI output was used to highlight the discrepancy, recommend internal and external reconciliation, identify supporting evidence, prepare a reconciliation approach and emphasize the statutory response deadline. This converts an unstructured notice into an actionable compliance summary.</w:t>
      </w:r>
    </w:p>
    <w:p>
      <w:r>
        <w:t>Important control: the AI-generated analysis is treated as a draft assistance layer. The final interpretation, factual verification and response to any real statutory notice must be performed by the responsible professional.</w:t>
      </w:r>
    </w:p>
    <w:p>
      <w:pPr>
        <w:pStyle w:val="Heading1"/>
      </w:pPr>
      <w:r>
        <w:t>9. Bricks - Compliance Dashboard Component</w:t>
      </w:r>
    </w:p>
    <w:p>
      <w:r>
        <w:t>The dashboard provides a management-level view of the dummy compliance dataset. It presents headline metrics and visualizations covering total compliances, completed items, pending/in-progress/not-started items, overdue items, average days pending, risk-level mix, high-risk items by responsible team, compliance categories and upcoming workload by due date.</w:t>
      </w:r>
    </w:p>
    <w:p>
      <w:r>
        <w:t>The dashboard helps demonstrate how compliance data can be converted into visual intelligence for prioritization, review meetings and allocation of responsibility.</w:t>
      </w:r>
    </w:p>
    <w:p>
      <w:pPr>
        <w:pStyle w:val="Heading1"/>
      </w:pPr>
      <w:r>
        <w:t>10. Python Risk Analyzer</w:t>
      </w:r>
    </w:p>
    <w:p>
      <w:r>
        <w:t>The CA Statutory Compliance Risk Analyzer is a lightweight desktop prototype built with Python and Tkinter. It uses standard Python libraries and therefore avoids unnecessary external dependencies.</w:t>
      </w:r>
    </w:p>
    <w:p>
      <w:pPr>
        <w:pStyle w:val="ListBullet"/>
      </w:pPr>
      <w:r>
        <w:t>Selection of compliance category: GST, Income Tax, TDS, ROC, PF, ESI or Internal Compliance.</w:t>
      </w:r>
    </w:p>
    <w:p>
      <w:pPr>
        <w:pStyle w:val="ListBullet"/>
      </w:pPr>
      <w:r>
        <w:t>Entry of particulars and due date in DD-MM-YYYY format.</w:t>
      </w:r>
    </w:p>
    <w:p>
      <w:pPr>
        <w:pStyle w:val="ListBullet"/>
      </w:pPr>
      <w:r>
        <w:t>Selection of current status and risk level.</w:t>
      </w:r>
    </w:p>
    <w:p>
      <w:pPr>
        <w:pStyle w:val="ListBullet"/>
      </w:pPr>
      <w:r>
        <w:t>Capture of responsible person/team and remarks.</w:t>
      </w:r>
    </w:p>
    <w:p>
      <w:pPr>
        <w:pStyle w:val="ListBullet"/>
      </w:pPr>
      <w:r>
        <w:t>Automatic calculation of days remaining or days overdue.</w:t>
      </w:r>
    </w:p>
    <w:p>
      <w:pPr>
        <w:pStyle w:val="ListBullet"/>
      </w:pPr>
      <w:r>
        <w:t>Priority classification: CRITICAL, HIGH PRIORITY, MEDIUM PRIORITY, NORMAL MONITORING or COMPLETED.</w:t>
      </w:r>
    </w:p>
    <w:p>
      <w:pPr>
        <w:pStyle w:val="ListBullet"/>
      </w:pPr>
      <w:r>
        <w:t>Display of a recommended action and demonstration disclaimer.</w:t>
      </w:r>
    </w:p>
    <w:p>
      <w:pPr>
        <w:pStyle w:val="ListBullet"/>
      </w:pPr>
      <w:r>
        <w:t>Clear/reset function for repeated testing.</w:t>
      </w:r>
    </w:p>
    <w:p>
      <w:pPr>
        <w:pStyle w:val="Heading1"/>
      </w:pPr>
      <w:r>
        <w:t>11. Risk Classification Logic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2F5597"/>
          </w:tcPr>
          <w:p>
            <w:r/>
            <w:r>
              <w:rPr>
                <w:rFonts w:ascii="Aptos" w:hAnsi="Aptos"/>
                <w:b/>
                <w:color w:val="FFFFFF"/>
                <w:sz w:val="19"/>
              </w:rPr>
              <w:t>Condition</w:t>
            </w:r>
          </w:p>
        </w:tc>
        <w:tc>
          <w:tcPr>
            <w:tcW w:type="dxa" w:w="3360"/>
            <w:vAlign w:val="center"/>
            <w:shd w:fill="2F5597"/>
          </w:tcPr>
          <w:p>
            <w:r/>
            <w:r>
              <w:rPr>
                <w:rFonts w:ascii="Aptos" w:hAnsi="Aptos"/>
                <w:b/>
                <w:color w:val="FFFFFF"/>
                <w:sz w:val="19"/>
              </w:rPr>
              <w:t>Priority</w:t>
            </w:r>
          </w:p>
        </w:tc>
        <w:tc>
          <w:tcPr>
            <w:tcW w:type="dxa" w:w="3360"/>
            <w:vAlign w:val="center"/>
            <w:shd w:fill="2F5597"/>
          </w:tcPr>
          <w:p>
            <w:r/>
            <w:r>
              <w:rPr>
                <w:rFonts w:ascii="Aptos" w:hAnsi="Aptos"/>
                <w:b/>
                <w:color w:val="FFFFFF"/>
                <w:sz w:val="19"/>
              </w:rPr>
              <w:t>Suggested Treatment</w:t>
            </w:r>
          </w:p>
        </w:tc>
      </w:tr>
      <w:tr>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COMPLETED / NO IMMEDIATE ACTION</w:t>
            </w:r>
          </w:p>
        </w:tc>
        <w:tc>
          <w:tcPr>
            <w:tcW w:type="dxa" w:w="3360"/>
            <w:vAlign w:val="center"/>
          </w:tcPr>
          <w:p>
            <w:r/>
            <w:r>
              <w:rPr>
                <w:rFonts w:ascii="Aptos" w:hAnsi="Aptos"/>
                <w:b w:val="0"/>
                <w:sz w:val="19"/>
              </w:rPr>
              <w:t>Maintain evidence and supporting records.</w:t>
            </w:r>
          </w:p>
        </w:tc>
      </w:tr>
      <w:tr>
        <w:tc>
          <w:tcPr>
            <w:tcW w:type="dxa" w:w="3360"/>
            <w:vAlign w:val="center"/>
          </w:tcPr>
          <w:p>
            <w:r/>
            <w:r>
              <w:rPr>
                <w:rFonts w:ascii="Aptos" w:hAnsi="Aptos"/>
                <w:b w:val="0"/>
                <w:sz w:val="19"/>
              </w:rPr>
              <w:t>Overdue + High Risk</w:t>
            </w:r>
          </w:p>
        </w:tc>
        <w:tc>
          <w:tcPr>
            <w:tcW w:type="dxa" w:w="3360"/>
            <w:vAlign w:val="center"/>
          </w:tcPr>
          <w:p>
            <w:r/>
            <w:r>
              <w:rPr>
                <w:rFonts w:ascii="Aptos" w:hAnsi="Aptos"/>
                <w:b w:val="0"/>
                <w:sz w:val="19"/>
              </w:rPr>
              <w:t>CRITICAL</w:t>
            </w:r>
          </w:p>
        </w:tc>
        <w:tc>
          <w:tcPr>
            <w:tcW w:type="dxa" w:w="3360"/>
            <w:vAlign w:val="center"/>
          </w:tcPr>
          <w:p>
            <w:r/>
            <w:r>
              <w:rPr>
                <w:rFonts w:ascii="Aptos" w:hAnsi="Aptos"/>
                <w:b w:val="0"/>
                <w:sz w:val="19"/>
              </w:rPr>
              <w:t>Immediate escalation and completion.</w:t>
            </w:r>
          </w:p>
        </w:tc>
      </w:tr>
      <w:tr>
        <w:tc>
          <w:tcPr>
            <w:tcW w:type="dxa" w:w="3360"/>
            <w:vAlign w:val="center"/>
          </w:tcPr>
          <w:p>
            <w:r/>
            <w:r>
              <w:rPr>
                <w:rFonts w:ascii="Aptos" w:hAnsi="Aptos"/>
                <w:b w:val="0"/>
                <w:sz w:val="19"/>
              </w:rPr>
              <w:t>High Risk</w:t>
            </w:r>
          </w:p>
        </w:tc>
        <w:tc>
          <w:tcPr>
            <w:tcW w:type="dxa" w:w="3360"/>
            <w:vAlign w:val="center"/>
          </w:tcPr>
          <w:p>
            <w:r/>
            <w:r>
              <w:rPr>
                <w:rFonts w:ascii="Aptos" w:hAnsi="Aptos"/>
                <w:b w:val="0"/>
                <w:sz w:val="19"/>
              </w:rPr>
              <w:t>HIGH PRIORITY</w:t>
            </w:r>
          </w:p>
        </w:tc>
        <w:tc>
          <w:tcPr>
            <w:tcW w:type="dxa" w:w="3360"/>
            <w:vAlign w:val="center"/>
          </w:tcPr>
          <w:p>
            <w:r/>
            <w:r>
              <w:rPr>
                <w:rFonts w:ascii="Aptos" w:hAnsi="Aptos"/>
                <w:b w:val="0"/>
                <w:sz w:val="19"/>
              </w:rPr>
              <w:t>Immediate review, document collection and responsibility assignment.</w:t>
            </w:r>
          </w:p>
        </w:tc>
      </w:tr>
      <w:tr>
        <w:tc>
          <w:tcPr>
            <w:tcW w:type="dxa" w:w="3360"/>
            <w:vAlign w:val="center"/>
          </w:tcPr>
          <w:p>
            <w:r/>
            <w:r>
              <w:rPr>
                <w:rFonts w:ascii="Aptos" w:hAnsi="Aptos"/>
                <w:b w:val="0"/>
                <w:sz w:val="19"/>
              </w:rPr>
              <w:t>Medium Risk</w:t>
            </w:r>
          </w:p>
        </w:tc>
        <w:tc>
          <w:tcPr>
            <w:tcW w:type="dxa" w:w="3360"/>
            <w:vAlign w:val="center"/>
          </w:tcPr>
          <w:p>
            <w:r/>
            <w:r>
              <w:rPr>
                <w:rFonts w:ascii="Aptos" w:hAnsi="Aptos"/>
                <w:b w:val="0"/>
                <w:sz w:val="19"/>
              </w:rPr>
              <w:t>MEDIUM PRIORITY</w:t>
            </w:r>
          </w:p>
        </w:tc>
        <w:tc>
          <w:tcPr>
            <w:tcW w:type="dxa" w:w="3360"/>
            <w:vAlign w:val="center"/>
          </w:tcPr>
          <w:p>
            <w:r/>
            <w:r>
              <w:rPr>
                <w:rFonts w:ascii="Aptos" w:hAnsi="Aptos"/>
                <w:b w:val="0"/>
                <w:sz w:val="19"/>
              </w:rPr>
              <w:t>Close monitoring and completion before due date.</w:t>
            </w:r>
          </w:p>
        </w:tc>
      </w:tr>
      <w:tr>
        <w:tc>
          <w:tcPr>
            <w:tcW w:type="dxa" w:w="3360"/>
            <w:vAlign w:val="center"/>
          </w:tcPr>
          <w:p>
            <w:r/>
            <w:r>
              <w:rPr>
                <w:rFonts w:ascii="Aptos" w:hAnsi="Aptos"/>
                <w:b w:val="0"/>
                <w:sz w:val="19"/>
              </w:rPr>
              <w:t>Low Risk</w:t>
            </w:r>
          </w:p>
        </w:tc>
        <w:tc>
          <w:tcPr>
            <w:tcW w:type="dxa" w:w="3360"/>
            <w:vAlign w:val="center"/>
          </w:tcPr>
          <w:p>
            <w:r/>
            <w:r>
              <w:rPr>
                <w:rFonts w:ascii="Aptos" w:hAnsi="Aptos"/>
                <w:b w:val="0"/>
                <w:sz w:val="19"/>
              </w:rPr>
              <w:t>NORMAL MONITORING</w:t>
            </w:r>
          </w:p>
        </w:tc>
        <w:tc>
          <w:tcPr>
            <w:tcW w:type="dxa" w:w="3360"/>
            <w:vAlign w:val="center"/>
          </w:tcPr>
          <w:p>
            <w:r/>
            <w:r>
              <w:rPr>
                <w:rFonts w:ascii="Aptos" w:hAnsi="Aptos"/>
                <w:b w:val="0"/>
                <w:sz w:val="19"/>
              </w:rPr>
              <w:t>Track through the regular compliance calendar.</w:t>
            </w:r>
          </w:p>
        </w:tc>
      </w:tr>
    </w:tbl>
    <w:p>
      <w:pPr>
        <w:pStyle w:val="Heading1"/>
      </w:pPr>
      <w:r>
        <w:t>12. Test Case and Result</w:t>
      </w:r>
    </w:p>
    <w:tbl>
      <w:tblPr>
        <w:tblStyle w:val="TableGrid"/>
        <w:tblW w:type="auto" w:w="0"/>
        <w:tblLook w:firstColumn="1" w:firstRow="1" w:lastColumn="0" w:lastRow="0" w:noHBand="0" w:noVBand="1" w:val="04A0"/>
      </w:tblPr>
      <w:tblGrid>
        <w:gridCol w:w="5040"/>
        <w:gridCol w:w="5040"/>
      </w:tblGrid>
      <w:tr>
        <w:tc>
          <w:tcPr>
            <w:tcW w:type="dxa" w:w="5040"/>
            <w:vAlign w:val="center"/>
            <w:shd w:fill="2F5597"/>
          </w:tcPr>
          <w:p>
            <w:r/>
            <w:r>
              <w:rPr>
                <w:rFonts w:ascii="Aptos" w:hAnsi="Aptos"/>
                <w:b/>
                <w:color w:val="FFFFFF"/>
                <w:sz w:val="19"/>
              </w:rPr>
              <w:t>Test Field</w:t>
            </w:r>
          </w:p>
        </w:tc>
        <w:tc>
          <w:tcPr>
            <w:tcW w:type="dxa" w:w="5040"/>
            <w:vAlign w:val="center"/>
            <w:shd w:fill="2F5597"/>
          </w:tcPr>
          <w:p>
            <w:r/>
            <w:r>
              <w:rPr>
                <w:rFonts w:ascii="Aptos" w:hAnsi="Aptos"/>
                <w:b/>
                <w:color w:val="FFFFFF"/>
                <w:sz w:val="19"/>
              </w:rPr>
              <w:t>Dummy Value</w:t>
            </w:r>
          </w:p>
        </w:tc>
      </w:tr>
      <w:tr>
        <w:tc>
          <w:tcPr>
            <w:tcW w:type="dxa" w:w="5040"/>
            <w:vAlign w:val="center"/>
          </w:tcPr>
          <w:p>
            <w:r/>
            <w:r>
              <w:rPr>
                <w:rFonts w:ascii="Aptos" w:hAnsi="Aptos"/>
                <w:b/>
                <w:sz w:val="19"/>
              </w:rPr>
              <w:t>Compliance Type</w:t>
            </w:r>
          </w:p>
        </w:tc>
        <w:tc>
          <w:tcPr>
            <w:tcW w:type="dxa" w:w="5040"/>
            <w:vAlign w:val="center"/>
          </w:tcPr>
          <w:p>
            <w:r/>
            <w:r>
              <w:rPr>
                <w:rFonts w:ascii="Aptos" w:hAnsi="Aptos"/>
                <w:b w:val="0"/>
                <w:sz w:val="19"/>
              </w:rPr>
              <w:t>Income Tax</w:t>
            </w:r>
          </w:p>
        </w:tc>
      </w:tr>
      <w:tr>
        <w:tc>
          <w:tcPr>
            <w:tcW w:type="dxa" w:w="5040"/>
            <w:vAlign w:val="center"/>
          </w:tcPr>
          <w:p>
            <w:r/>
            <w:r>
              <w:rPr>
                <w:rFonts w:ascii="Aptos" w:hAnsi="Aptos"/>
                <w:b/>
                <w:sz w:val="19"/>
              </w:rPr>
              <w:t>Particulars</w:t>
            </w:r>
          </w:p>
        </w:tc>
        <w:tc>
          <w:tcPr>
            <w:tcW w:type="dxa" w:w="5040"/>
            <w:vAlign w:val="center"/>
          </w:tcPr>
          <w:p>
            <w:r/>
            <w:r>
              <w:rPr>
                <w:rFonts w:ascii="Aptos" w:hAnsi="Aptos"/>
                <w:b w:val="0"/>
                <w:sz w:val="19"/>
              </w:rPr>
              <w:t>Response to Dummy Notice</w:t>
            </w:r>
          </w:p>
        </w:tc>
      </w:tr>
      <w:tr>
        <w:tc>
          <w:tcPr>
            <w:tcW w:type="dxa" w:w="5040"/>
            <w:vAlign w:val="center"/>
          </w:tcPr>
          <w:p>
            <w:r/>
            <w:r>
              <w:rPr>
                <w:rFonts w:ascii="Aptos" w:hAnsi="Aptos"/>
                <w:b/>
                <w:sz w:val="19"/>
              </w:rPr>
              <w:t>Due Date</w:t>
            </w:r>
          </w:p>
        </w:tc>
        <w:tc>
          <w:tcPr>
            <w:tcW w:type="dxa" w:w="5040"/>
            <w:vAlign w:val="center"/>
          </w:tcPr>
          <w:p>
            <w:r/>
            <w:r>
              <w:rPr>
                <w:rFonts w:ascii="Aptos" w:hAnsi="Aptos"/>
                <w:b w:val="0"/>
                <w:sz w:val="19"/>
              </w:rPr>
              <w:t>25-08-2026</w:t>
            </w:r>
          </w:p>
        </w:tc>
      </w:tr>
      <w:tr>
        <w:tc>
          <w:tcPr>
            <w:tcW w:type="dxa" w:w="5040"/>
            <w:vAlign w:val="center"/>
          </w:tcPr>
          <w:p>
            <w:r/>
            <w:r>
              <w:rPr>
                <w:rFonts w:ascii="Aptos" w:hAnsi="Aptos"/>
                <w:b/>
                <w:sz w:val="19"/>
              </w:rPr>
              <w:t>Current Status</w:t>
            </w:r>
          </w:p>
        </w:tc>
        <w:tc>
          <w:tcPr>
            <w:tcW w:type="dxa" w:w="5040"/>
            <w:vAlign w:val="center"/>
          </w:tcPr>
          <w:p>
            <w:r/>
            <w:r>
              <w:rPr>
                <w:rFonts w:ascii="Aptos" w:hAnsi="Aptos"/>
                <w:b w:val="0"/>
                <w:sz w:val="19"/>
              </w:rPr>
              <w:t>Pending</w:t>
            </w:r>
          </w:p>
        </w:tc>
      </w:tr>
      <w:tr>
        <w:tc>
          <w:tcPr>
            <w:tcW w:type="dxa" w:w="5040"/>
            <w:vAlign w:val="center"/>
          </w:tcPr>
          <w:p>
            <w:r/>
            <w:r>
              <w:rPr>
                <w:rFonts w:ascii="Aptos" w:hAnsi="Aptos"/>
                <w:b/>
                <w:sz w:val="19"/>
              </w:rPr>
              <w:t>Risk Level</w:t>
            </w:r>
          </w:p>
        </w:tc>
        <w:tc>
          <w:tcPr>
            <w:tcW w:type="dxa" w:w="5040"/>
            <w:vAlign w:val="center"/>
          </w:tcPr>
          <w:p>
            <w:r/>
            <w:r>
              <w:rPr>
                <w:rFonts w:ascii="Aptos" w:hAnsi="Aptos"/>
                <w:b w:val="0"/>
                <w:sz w:val="19"/>
              </w:rPr>
              <w:t>High</w:t>
            </w:r>
          </w:p>
        </w:tc>
      </w:tr>
      <w:tr>
        <w:tc>
          <w:tcPr>
            <w:tcW w:type="dxa" w:w="5040"/>
            <w:vAlign w:val="center"/>
          </w:tcPr>
          <w:p>
            <w:r/>
            <w:r>
              <w:rPr>
                <w:rFonts w:ascii="Aptos" w:hAnsi="Aptos"/>
                <w:b/>
                <w:sz w:val="19"/>
              </w:rPr>
              <w:t>Responsible Person</w:t>
            </w:r>
          </w:p>
        </w:tc>
        <w:tc>
          <w:tcPr>
            <w:tcW w:type="dxa" w:w="5040"/>
            <w:vAlign w:val="center"/>
          </w:tcPr>
          <w:p>
            <w:r/>
            <w:r>
              <w:rPr>
                <w:rFonts w:ascii="Aptos" w:hAnsi="Aptos"/>
                <w:b w:val="0"/>
                <w:sz w:val="19"/>
              </w:rPr>
              <w:t>CA / Tax Team</w:t>
            </w:r>
          </w:p>
        </w:tc>
      </w:tr>
      <w:tr>
        <w:tc>
          <w:tcPr>
            <w:tcW w:type="dxa" w:w="5040"/>
            <w:vAlign w:val="center"/>
          </w:tcPr>
          <w:p>
            <w:r/>
            <w:r>
              <w:rPr>
                <w:rFonts w:ascii="Aptos" w:hAnsi="Aptos"/>
                <w:b/>
                <w:sz w:val="19"/>
              </w:rPr>
              <w:t>Remarks</w:t>
            </w:r>
          </w:p>
        </w:tc>
        <w:tc>
          <w:tcPr>
            <w:tcW w:type="dxa" w:w="5040"/>
            <w:vAlign w:val="center"/>
          </w:tcPr>
          <w:p>
            <w:r/>
            <w:r>
              <w:rPr>
                <w:rFonts w:ascii="Aptos" w:hAnsi="Aptos"/>
                <w:b w:val="0"/>
                <w:sz w:val="19"/>
              </w:rPr>
              <w:t>Reconciliation of Rs. 18,75,000 required</w:t>
            </w:r>
          </w:p>
        </w:tc>
      </w:tr>
      <w:tr>
        <w:tc>
          <w:tcPr>
            <w:tcW w:type="dxa" w:w="5040"/>
            <w:vAlign w:val="center"/>
          </w:tcPr>
          <w:p>
            <w:r/>
            <w:r>
              <w:rPr>
                <w:rFonts w:ascii="Aptos" w:hAnsi="Aptos"/>
                <w:b/>
                <w:sz w:val="19"/>
              </w:rPr>
              <w:t>Application Result</w:t>
            </w:r>
          </w:p>
        </w:tc>
        <w:tc>
          <w:tcPr>
            <w:tcW w:type="dxa" w:w="5040"/>
            <w:vAlign w:val="center"/>
          </w:tcPr>
          <w:p>
            <w:r/>
            <w:r>
              <w:rPr>
                <w:rFonts w:ascii="Aptos" w:hAnsi="Aptos"/>
                <w:b w:val="0"/>
                <w:sz w:val="19"/>
              </w:rPr>
              <w:t>8 days remaining; HIGH PRIORITY</w:t>
            </w:r>
          </w:p>
        </w:tc>
      </w:tr>
    </w:tbl>
    <w:p>
      <w:r>
        <w:t>The successful test confirms that the prototype can accept a statutory compliance item, calculate its deadline position and produce a consistent priority classification based on the configured rules.</w:t>
      </w:r>
    </w:p>
    <w:p>
      <w:pPr>
        <w:pStyle w:val="Heading1"/>
      </w:pPr>
      <w:r>
        <w:t>13. Evidence / Screenshot Index</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2F5597"/>
          </w:tcPr>
          <w:p>
            <w:r/>
            <w:r>
              <w:rPr>
                <w:rFonts w:ascii="Aptos" w:hAnsi="Aptos"/>
                <w:b/>
                <w:color w:val="FFFFFF"/>
                <w:sz w:val="19"/>
              </w:rPr>
              <w:t>File</w:t>
            </w:r>
          </w:p>
        </w:tc>
        <w:tc>
          <w:tcPr>
            <w:tcW w:type="dxa" w:w="3360"/>
            <w:vAlign w:val="center"/>
            <w:shd w:fill="2F5597"/>
          </w:tcPr>
          <w:p>
            <w:r/>
            <w:r>
              <w:rPr>
                <w:rFonts w:ascii="Aptos" w:hAnsi="Aptos"/>
                <w:b/>
                <w:color w:val="FFFFFF"/>
                <w:sz w:val="19"/>
              </w:rPr>
              <w:t>Evidence</w:t>
            </w:r>
          </w:p>
        </w:tc>
        <w:tc>
          <w:tcPr>
            <w:tcW w:type="dxa" w:w="3360"/>
            <w:vAlign w:val="center"/>
            <w:shd w:fill="2F5597"/>
          </w:tcPr>
          <w:p>
            <w:r/>
            <w:r>
              <w:rPr>
                <w:rFonts w:ascii="Aptos" w:hAnsi="Aptos"/>
                <w:b/>
                <w:color w:val="FFFFFF"/>
                <w:sz w:val="19"/>
              </w:rPr>
              <w:t>Purpose</w:t>
            </w:r>
          </w:p>
        </w:tc>
      </w:tr>
      <w:tr>
        <w:tc>
          <w:tcPr>
            <w:tcW w:type="dxa" w:w="3360"/>
            <w:vAlign w:val="center"/>
          </w:tcPr>
          <w:p>
            <w:r/>
            <w:r>
              <w:rPr>
                <w:rFonts w:ascii="Aptos" w:hAnsi="Aptos"/>
                <w:b w:val="0"/>
                <w:sz w:val="19"/>
              </w:rPr>
              <w:t>01_AI_Studio_Notice_Analysis.png</w:t>
            </w:r>
          </w:p>
        </w:tc>
        <w:tc>
          <w:tcPr>
            <w:tcW w:type="dxa" w:w="3360"/>
            <w:vAlign w:val="center"/>
          </w:tcPr>
          <w:p>
            <w:r/>
            <w:r>
              <w:rPr>
                <w:rFonts w:ascii="Aptos" w:hAnsi="Aptos"/>
                <w:b w:val="0"/>
                <w:sz w:val="19"/>
              </w:rPr>
              <w:t>Google AI Studio analysis</w:t>
            </w:r>
          </w:p>
        </w:tc>
        <w:tc>
          <w:tcPr>
            <w:tcW w:type="dxa" w:w="3360"/>
            <w:vAlign w:val="center"/>
          </w:tcPr>
          <w:p>
            <w:r/>
            <w:r>
              <w:rPr>
                <w:rFonts w:ascii="Aptos" w:hAnsi="Aptos"/>
                <w:b w:val="0"/>
                <w:sz w:val="19"/>
              </w:rPr>
              <w:t>Shows AI-assisted notice analysis.</w:t>
            </w:r>
          </w:p>
        </w:tc>
      </w:tr>
      <w:tr>
        <w:tc>
          <w:tcPr>
            <w:tcW w:type="dxa" w:w="3360"/>
            <w:vAlign w:val="center"/>
          </w:tcPr>
          <w:p>
            <w:r/>
            <w:r>
              <w:rPr>
                <w:rFonts w:ascii="Aptos" w:hAnsi="Aptos"/>
                <w:b w:val="0"/>
                <w:sz w:val="19"/>
              </w:rPr>
              <w:t>02_AI_Studio_Notice_Analysis.png</w:t>
            </w:r>
          </w:p>
        </w:tc>
        <w:tc>
          <w:tcPr>
            <w:tcW w:type="dxa" w:w="3360"/>
            <w:vAlign w:val="center"/>
          </w:tcPr>
          <w:p>
            <w:r/>
            <w:r>
              <w:rPr>
                <w:rFonts w:ascii="Aptos" w:hAnsi="Aptos"/>
                <w:b w:val="0"/>
                <w:sz w:val="19"/>
              </w:rPr>
              <w:t>Google AI Studio analysis continuation</w:t>
            </w:r>
          </w:p>
        </w:tc>
        <w:tc>
          <w:tcPr>
            <w:tcW w:type="dxa" w:w="3360"/>
            <w:vAlign w:val="center"/>
          </w:tcPr>
          <w:p>
            <w:r/>
            <w:r>
              <w:rPr>
                <w:rFonts w:ascii="Aptos" w:hAnsi="Aptos"/>
                <w:b w:val="0"/>
                <w:sz w:val="19"/>
              </w:rPr>
              <w:t>Shows deadline/management summary.</w:t>
            </w:r>
          </w:p>
        </w:tc>
      </w:tr>
      <w:tr>
        <w:tc>
          <w:tcPr>
            <w:tcW w:type="dxa" w:w="3360"/>
            <w:vAlign w:val="center"/>
          </w:tcPr>
          <w:p>
            <w:r/>
            <w:r>
              <w:rPr>
                <w:rFonts w:ascii="Aptos" w:hAnsi="Aptos"/>
                <w:b w:val="0"/>
                <w:sz w:val="19"/>
              </w:rPr>
              <w:t>03_Bricks_Dashboard_Overview.png</w:t>
            </w:r>
          </w:p>
        </w:tc>
        <w:tc>
          <w:tcPr>
            <w:tcW w:type="dxa" w:w="3360"/>
            <w:vAlign w:val="center"/>
          </w:tcPr>
          <w:p>
            <w:r/>
            <w:r>
              <w:rPr>
                <w:rFonts w:ascii="Aptos" w:hAnsi="Aptos"/>
                <w:b w:val="0"/>
                <w:sz w:val="19"/>
              </w:rPr>
              <w:t>Bricks dashboard overview</w:t>
            </w:r>
          </w:p>
        </w:tc>
        <w:tc>
          <w:tcPr>
            <w:tcW w:type="dxa" w:w="3360"/>
            <w:vAlign w:val="center"/>
          </w:tcPr>
          <w:p>
            <w:r/>
            <w:r>
              <w:rPr>
                <w:rFonts w:ascii="Aptos" w:hAnsi="Aptos"/>
                <w:b w:val="0"/>
                <w:sz w:val="19"/>
              </w:rPr>
              <w:t>Shows compliance KPIs and dashboard creation.</w:t>
            </w:r>
          </w:p>
        </w:tc>
      </w:tr>
      <w:tr>
        <w:tc>
          <w:tcPr>
            <w:tcW w:type="dxa" w:w="3360"/>
            <w:vAlign w:val="center"/>
          </w:tcPr>
          <w:p>
            <w:r/>
            <w:r>
              <w:rPr>
                <w:rFonts w:ascii="Aptos" w:hAnsi="Aptos"/>
                <w:b w:val="0"/>
                <w:sz w:val="19"/>
              </w:rPr>
              <w:t>04_Bricks_Dashboard_Risk_Analysis.png</w:t>
            </w:r>
          </w:p>
        </w:tc>
        <w:tc>
          <w:tcPr>
            <w:tcW w:type="dxa" w:w="3360"/>
            <w:vAlign w:val="center"/>
          </w:tcPr>
          <w:p>
            <w:r/>
            <w:r>
              <w:rPr>
                <w:rFonts w:ascii="Aptos" w:hAnsi="Aptos"/>
                <w:b w:val="0"/>
                <w:sz w:val="19"/>
              </w:rPr>
              <w:t>Bricks risk analysis</w:t>
            </w:r>
          </w:p>
        </w:tc>
        <w:tc>
          <w:tcPr>
            <w:tcW w:type="dxa" w:w="3360"/>
            <w:vAlign w:val="center"/>
          </w:tcPr>
          <w:p>
            <w:r/>
            <w:r>
              <w:rPr>
                <w:rFonts w:ascii="Aptos" w:hAnsi="Aptos"/>
                <w:b w:val="0"/>
                <w:sz w:val="19"/>
              </w:rPr>
              <w:t>Shows risk mix and responsible-team analysis.</w:t>
            </w:r>
          </w:p>
        </w:tc>
      </w:tr>
      <w:tr>
        <w:tc>
          <w:tcPr>
            <w:tcW w:type="dxa" w:w="3360"/>
            <w:vAlign w:val="center"/>
          </w:tcPr>
          <w:p>
            <w:r/>
            <w:r>
              <w:rPr>
                <w:rFonts w:ascii="Aptos" w:hAnsi="Aptos"/>
                <w:b w:val="0"/>
                <w:sz w:val="19"/>
              </w:rPr>
              <w:t>05_Antigravity_AI_Assisted_Development.png</w:t>
            </w:r>
          </w:p>
        </w:tc>
        <w:tc>
          <w:tcPr>
            <w:tcW w:type="dxa" w:w="3360"/>
            <w:vAlign w:val="center"/>
          </w:tcPr>
          <w:p>
            <w:r/>
            <w:r>
              <w:rPr>
                <w:rFonts w:ascii="Aptos" w:hAnsi="Aptos"/>
                <w:b w:val="0"/>
                <w:sz w:val="19"/>
              </w:rPr>
              <w:t>Antigravity IDE</w:t>
            </w:r>
          </w:p>
        </w:tc>
        <w:tc>
          <w:tcPr>
            <w:tcW w:type="dxa" w:w="3360"/>
            <w:vAlign w:val="center"/>
          </w:tcPr>
          <w:p>
            <w:r/>
            <w:r>
              <w:rPr>
                <w:rFonts w:ascii="Aptos" w:hAnsi="Aptos"/>
                <w:b w:val="0"/>
                <w:sz w:val="19"/>
              </w:rPr>
              <w:t>Shows Capstone workspace and AI-assisted development setup.</w:t>
            </w:r>
          </w:p>
        </w:tc>
      </w:tr>
      <w:tr>
        <w:tc>
          <w:tcPr>
            <w:tcW w:type="dxa" w:w="3360"/>
            <w:vAlign w:val="center"/>
          </w:tcPr>
          <w:p>
            <w:r/>
            <w:r>
              <w:rPr>
                <w:rFonts w:ascii="Aptos" w:hAnsi="Aptos"/>
                <w:b w:val="0"/>
                <w:sz w:val="19"/>
              </w:rPr>
              <w:t>06_Python_Risk_Analyzer.png</w:t>
            </w:r>
          </w:p>
        </w:tc>
        <w:tc>
          <w:tcPr>
            <w:tcW w:type="dxa" w:w="3360"/>
            <w:vAlign w:val="center"/>
          </w:tcPr>
          <w:p>
            <w:r/>
            <w:r>
              <w:rPr>
                <w:rFonts w:ascii="Aptos" w:hAnsi="Aptos"/>
                <w:b w:val="0"/>
                <w:sz w:val="19"/>
              </w:rPr>
              <w:t>Working Python application</w:t>
            </w:r>
          </w:p>
        </w:tc>
        <w:tc>
          <w:tcPr>
            <w:tcW w:type="dxa" w:w="3360"/>
            <w:vAlign w:val="center"/>
          </w:tcPr>
          <w:p>
            <w:r/>
            <w:r>
              <w:rPr>
                <w:rFonts w:ascii="Aptos" w:hAnsi="Aptos"/>
                <w:b w:val="0"/>
                <w:sz w:val="19"/>
              </w:rPr>
              <w:t>Shows dummy inputs and HIGH PRIORITY result.</w:t>
            </w:r>
          </w:p>
        </w:tc>
      </w:tr>
    </w:tbl>
    <w:p>
      <w:pPr>
        <w:pStyle w:val="Heading1"/>
      </w:pPr>
      <w:r>
        <w:t>14. Learning Outcomes from AICA Level-2</w:t>
      </w:r>
    </w:p>
    <w:p>
      <w:pPr>
        <w:pStyle w:val="ListBullet"/>
      </w:pPr>
      <w:r>
        <w:t>Applying AI agents and structured prompts to professional workflows.</w:t>
      </w:r>
    </w:p>
    <w:p>
      <w:pPr>
        <w:pStyle w:val="ListBullet"/>
      </w:pPr>
      <w:r>
        <w:t>Using multimodal/document-capable AI for statutory notice analysis.</w:t>
      </w:r>
    </w:p>
    <w:p>
      <w:pPr>
        <w:pStyle w:val="ListBullet"/>
      </w:pPr>
      <w:r>
        <w:t>Preparing structured data for AI-assisted visualization.</w:t>
      </w:r>
    </w:p>
    <w:p>
      <w:pPr>
        <w:pStyle w:val="ListBullet"/>
      </w:pPr>
      <w:r>
        <w:t>Generating dashboards that convert raw compliance data into management insights.</w:t>
      </w:r>
    </w:p>
    <w:p>
      <w:pPr>
        <w:pStyle w:val="ListBullet"/>
      </w:pPr>
      <w:r>
        <w:t>Understanding AI-assisted application development and the role of an IDE/agent environment.</w:t>
      </w:r>
    </w:p>
    <w:p>
      <w:pPr>
        <w:pStyle w:val="ListBullet"/>
      </w:pPr>
      <w:r>
        <w:t>Using Python fundamentals to build a practical desktop application.</w:t>
      </w:r>
    </w:p>
    <w:p>
      <w:pPr>
        <w:pStyle w:val="ListBullet"/>
      </w:pPr>
      <w:r>
        <w:t>Understanding the importance of local/offline AI concepts, connectors, MCP and agentic workflows for future professional automation.</w:t>
      </w:r>
    </w:p>
    <w:p>
      <w:pPr>
        <w:pStyle w:val="ListBullet"/>
      </w:pPr>
      <w:r>
        <w:t>Maintaining human oversight, data privacy and professional judgement when using AI.</w:t>
      </w:r>
    </w:p>
    <w:p>
      <w:pPr>
        <w:pStyle w:val="Heading1"/>
      </w:pPr>
      <w:r>
        <w:t>15. Future Enhancements</w:t>
      </w:r>
    </w:p>
    <w:p>
      <w:pPr>
        <w:pStyle w:val="ListBullet"/>
      </w:pPr>
      <w:r>
        <w:t>Import compliance records directly from Excel instead of entering one item manually.</w:t>
      </w:r>
    </w:p>
    <w:p>
      <w:pPr>
        <w:pStyle w:val="ListBullet"/>
      </w:pPr>
      <w:r>
        <w:t>Add automated reminders and escalation for approaching due dates.</w:t>
      </w:r>
    </w:p>
    <w:p>
      <w:pPr>
        <w:pStyle w:val="ListBullet"/>
      </w:pPr>
      <w:r>
        <w:t>Add searchable notice/document repository and document classification.</w:t>
      </w:r>
    </w:p>
    <w:p>
      <w:pPr>
        <w:pStyle w:val="ListBullet"/>
      </w:pPr>
      <w:r>
        <w:t>Integrate email workflows for identifying unanswered statutory/compliance correspondence.</w:t>
      </w:r>
    </w:p>
    <w:p>
      <w:pPr>
        <w:pStyle w:val="ListBullet"/>
      </w:pPr>
      <w:r>
        <w:t>Explore secure local/offline model use for confidential documents.</w:t>
      </w:r>
    </w:p>
    <w:p>
      <w:pPr>
        <w:pStyle w:val="ListBullet"/>
      </w:pPr>
      <w:r>
        <w:t>Explore approved MCP/connectors for accounting or practice-management systems.</w:t>
      </w:r>
    </w:p>
    <w:p>
      <w:pPr>
        <w:pStyle w:val="ListBullet"/>
      </w:pPr>
      <w:r>
        <w:t>Add role-based access, audit trails and data encryption for production use.</w:t>
      </w:r>
    </w:p>
    <w:p>
      <w:pPr>
        <w:pStyle w:val="ListBullet"/>
      </w:pPr>
      <w:r>
        <w:t>Extend the dashboard to office-wide compliance monitoring.</w:t>
      </w:r>
    </w:p>
    <w:p>
      <w:pPr>
        <w:pStyle w:val="Heading1"/>
      </w:pPr>
      <w:r>
        <w:t>16. Data Privacy, Ethics and Professional Controls</w:t>
      </w:r>
    </w:p>
    <w:p>
      <w:pPr>
        <w:pStyle w:val="ListBullet"/>
      </w:pPr>
      <w:r>
        <w:t>Only dummy data is used in the Capstone demonstration.</w:t>
      </w:r>
    </w:p>
    <w:p>
      <w:pPr>
        <w:pStyle w:val="ListBullet"/>
      </w:pPr>
      <w:r>
        <w:t>Client PAN, bank details, addresses and other confidential identifiers should be redacted before use with external AI services.</w:t>
      </w:r>
    </w:p>
    <w:p>
      <w:pPr>
        <w:pStyle w:val="ListBullet"/>
      </w:pPr>
      <w:r>
        <w:t>AI-generated conclusions must be independently checked against the notice, law, rules, circulars and supporting records.</w:t>
      </w:r>
    </w:p>
    <w:p>
      <w:pPr>
        <w:pStyle w:val="ListBullet"/>
      </w:pPr>
      <w:r>
        <w:t>No statutory response should be filed solely on the basis of an AI-generated draft.</w:t>
      </w:r>
    </w:p>
    <w:p>
      <w:pPr>
        <w:pStyle w:val="ListBullet"/>
      </w:pPr>
      <w:r>
        <w:t>Access to production data should follow the firm's confidentiality, retention and information-security policies.</w:t>
      </w:r>
    </w:p>
    <w:p>
      <w:pPr>
        <w:pStyle w:val="ListBullet"/>
      </w:pPr>
      <w:r>
        <w:t>Human accountability remains with the Chartered Accountant / responsible professional.</w:t>
      </w:r>
    </w:p>
    <w:p>
      <w:pPr>
        <w:pStyle w:val="Heading1"/>
      </w:pPr>
      <w:r>
        <w:t>17. Suggested Video Demonstration Sequence</w:t>
      </w:r>
    </w:p>
    <w:p>
      <w:r>
        <w:t>1. Introduce the project title and professional problem being addressed.</w:t>
      </w:r>
    </w:p>
    <w:p>
      <w:r>
        <w:t>2. Show the organized AICA_LEVEL2_CAPSTONE folder structure.</w:t>
      </w:r>
    </w:p>
    <w:p>
      <w:r>
        <w:t>3. Open the dummy notice and explain that all information is illustrative.</w:t>
      </w:r>
    </w:p>
    <w:p>
      <w:r>
        <w:t>4. Show the Google AI Studio notice-analysis screenshots/output.</w:t>
      </w:r>
    </w:p>
    <w:p>
      <w:r>
        <w:t>5. Show the Bricks dashboard and briefly explain the key compliance/risk visualizations.</w:t>
      </w:r>
    </w:p>
    <w:p>
      <w:r>
        <w:t>6. Show the Antigravity IDE screenshot/workspace as evidence of AI-assisted development.</w:t>
      </w:r>
    </w:p>
    <w:p>
      <w:r>
        <w:t>7. Run the Python Risk Analyzer, enter the dummy Income Tax test case and click ANALYZE RISK.</w:t>
      </w:r>
    </w:p>
    <w:p>
      <w:r>
        <w:t>8. Highlight the 8 days remaining and HIGH PRIORITY result.</w:t>
      </w:r>
    </w:p>
    <w:p>
      <w:r>
        <w:t>9. Conclude with the human-review disclaimer, learning outcomes and possible future enhancements.</w:t>
      </w:r>
    </w:p>
    <w:p>
      <w:pPr>
        <w:pStyle w:val="Heading1"/>
      </w:pPr>
      <w:r>
        <w:t>18. GitHub / Submission Package Checklist</w:t>
      </w:r>
    </w:p>
    <w:p>
      <w:r>
        <w:t>☐ Dummy notice DOCX and PDF</w:t>
      </w:r>
    </w:p>
    <w:p>
      <w:r>
        <w:t>☐ Dummy compliance Excel dataset</w:t>
      </w:r>
    </w:p>
    <w:p>
      <w:r>
        <w:t>☐ Python source file: risk_analyzer.py</w:t>
      </w:r>
    </w:p>
    <w:p>
      <w:r>
        <w:t>☐ Python README.txt</w:t>
      </w:r>
    </w:p>
    <w:p>
      <w:r>
        <w:t>☐ Six evidence screenshots</w:t>
      </w:r>
    </w:p>
    <w:p>
      <w:r>
        <w:t>☐ Final Capstone Project Report</w:t>
      </w:r>
    </w:p>
    <w:p>
      <w:r>
        <w:t>☐ Repository README / project description</w:t>
      </w:r>
    </w:p>
    <w:p>
      <w:r>
        <w:t>☐ Video link with appropriate access permissions</w:t>
      </w:r>
    </w:p>
    <w:p>
      <w:r>
        <w:t>☐ Final Google Form submission details</w:t>
      </w:r>
    </w:p>
    <w:p>
      <w:pPr>
        <w:pStyle w:val="Heading1"/>
      </w:pPr>
      <w:r>
        <w:t>19. Conclusion</w:t>
      </w:r>
    </w:p>
    <w:p>
      <w:r>
        <w:t>The CA Statutory Compliance &amp; Notice Intelligence Assistant demonstrates a practical, human-supervised application of the ICAI AICA Level-2 learning. The project connects AI-based notice analysis, structured compliance data, dashboard visualization, AI-assisted development and Python-based risk prioritization in a single professional workflow. The prototype shows how AI can support faster identification, prioritization and monitoring of compliance work while preserving the Chartered Accountant's responsibility for validation, judgement and final action.</w:t>
      </w:r>
    </w:p>
    <w:p>
      <w:pPr>
        <w:pStyle w:val="Heading1"/>
      </w:pPr>
      <w:r>
        <w:t>20. Disclaimer</w:t>
      </w:r>
    </w:p>
    <w:p>
      <w:r>
        <w:rPr>
          <w:b/>
        </w:rPr>
        <w:t xml:space="preserve">This Capstone Project is prepared solely for educational and demonstration purposes using dummy data. </w:t>
      </w:r>
      <w:r>
        <w:t>It is not a substitute for professional judgement, statutory interpretation, legal advice, tax advice or independent verification. Any real-world implementation must be reviewed for applicable law, confidentiality, information security and organizational controls.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ICAI AICA Level-2 Capstone | CA Statutory Compliance &amp; Notice Intelligence Assistant | CA R C Hasija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