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C8DBC" w14:textId="77777777" w:rsidR="003B488A" w:rsidRDefault="003B488A">
      <w:pPr>
        <w:spacing w:before="600"/>
      </w:pPr>
    </w:p>
    <w:p w14:paraId="07A615C7" w14:textId="1A56EDEA" w:rsidR="003B488A" w:rsidRDefault="002116D4">
      <w:pPr>
        <w:jc w:val="center"/>
      </w:pPr>
      <w:proofErr w:type="spellStart"/>
      <w:r>
        <w:rPr>
          <w:rFonts w:ascii="Consolas" w:eastAsia="Consolas" w:hAnsi="Consolas" w:cs="Consolas"/>
          <w:b/>
          <w:bCs/>
          <w:color w:val="8A5A0B"/>
          <w:sz w:val="22"/>
          <w:szCs w:val="22"/>
        </w:rPr>
        <w:t>p</w:t>
      </w:r>
      <w:r w:rsidR="0088540B">
        <w:rPr>
          <w:rFonts w:ascii="Consolas" w:eastAsia="Consolas" w:hAnsi="Consolas" w:cs="Consolas"/>
          <w:b/>
          <w:bCs/>
          <w:color w:val="8A5A0B"/>
          <w:sz w:val="22"/>
          <w:szCs w:val="22"/>
        </w:rPr>
        <w:t>INTERNAL</w:t>
      </w:r>
      <w:proofErr w:type="spellEnd"/>
      <w:r w:rsidR="0088540B">
        <w:rPr>
          <w:rFonts w:ascii="Consolas" w:eastAsia="Consolas" w:hAnsi="Consolas" w:cs="Consolas"/>
          <w:b/>
          <w:bCs/>
          <w:color w:val="8A5A0B"/>
          <w:sz w:val="22"/>
          <w:szCs w:val="22"/>
        </w:rPr>
        <w:t xml:space="preserve"> DOCUMENTATION · DEVELOPMENT RECORD</w:t>
      </w:r>
    </w:p>
    <w:p w14:paraId="099E3AC7" w14:textId="77777777" w:rsidR="003B488A" w:rsidRDefault="0088540B">
      <w:pPr>
        <w:spacing w:before="200" w:after="100"/>
        <w:jc w:val="center"/>
      </w:pPr>
      <w:r>
        <w:rPr>
          <w:rFonts w:ascii="Georgia" w:eastAsia="Georgia" w:hAnsi="Georgia" w:cs="Georgia"/>
          <w:b/>
          <w:bCs/>
          <w:color w:val="1C2B30"/>
          <w:sz w:val="56"/>
          <w:szCs w:val="56"/>
        </w:rPr>
        <w:t>MSME 43B(h) Compliance Ledger</w:t>
      </w:r>
    </w:p>
    <w:p w14:paraId="1641A2B6" w14:textId="77777777" w:rsidR="003B488A" w:rsidRDefault="0088540B">
      <w:pPr>
        <w:spacing w:after="60"/>
        <w:jc w:val="center"/>
      </w:pPr>
      <w:r>
        <w:rPr>
          <w:rFonts w:ascii="Georgia" w:eastAsia="Georgia" w:hAnsi="Georgia" w:cs="Georgia"/>
          <w:color w:val="2F5D52"/>
          <w:sz w:val="30"/>
          <w:szCs w:val="30"/>
        </w:rPr>
        <w:t>Development SOP &amp; Build Methodology</w:t>
      </w:r>
    </w:p>
    <w:p w14:paraId="6F0BDF5B" w14:textId="77777777" w:rsidR="003B488A" w:rsidRDefault="0088540B">
      <w:pPr>
        <w:spacing w:after="500"/>
        <w:jc w:val="center"/>
      </w:pPr>
      <w:r>
        <w:rPr>
          <w:rFonts w:ascii="Calibri" w:eastAsia="Calibri" w:hAnsi="Calibri" w:cs="Calibri"/>
          <w:i/>
          <w:iCs/>
          <w:color w:val="6B6255"/>
          <w:sz w:val="22"/>
          <w:szCs w:val="22"/>
        </w:rPr>
        <w:t>Tools, process, and testing approach used to build the application (v1 – v14, final)</w:t>
      </w:r>
    </w:p>
    <w:p w14:paraId="35848B96" w14:textId="77777777" w:rsidR="003B488A" w:rsidRDefault="0088540B">
      <w:pPr>
        <w:spacing w:before="800"/>
        <w:jc w:val="center"/>
      </w:pPr>
      <w:r>
        <w:rPr>
          <w:rFonts w:ascii="Calibri" w:eastAsia="Calibri" w:hAnsi="Calibri" w:cs="Calibri"/>
          <w:b/>
          <w:bCs/>
          <w:color w:val="1C2B30"/>
          <w:sz w:val="24"/>
          <w:szCs w:val="24"/>
        </w:rPr>
        <w:t>Prepared for S. D. Nikam &amp; Company</w:t>
      </w:r>
    </w:p>
    <w:p w14:paraId="38EBD821" w14:textId="77777777" w:rsidR="003B488A" w:rsidRDefault="0088540B">
      <w:pPr>
        <w:jc w:val="center"/>
      </w:pPr>
      <w:r>
        <w:rPr>
          <w:rFonts w:ascii="Calibri" w:eastAsia="Calibri" w:hAnsi="Calibri" w:cs="Calibri"/>
          <w:color w:val="6B6255"/>
        </w:rPr>
        <w:t>Chartered Accountants</w:t>
      </w:r>
    </w:p>
    <w:p w14:paraId="4ACF2D46" w14:textId="77777777" w:rsidR="003B488A" w:rsidRDefault="0088540B">
      <w:r>
        <w:br w:type="page"/>
      </w:r>
    </w:p>
    <w:p w14:paraId="0908B49E" w14:textId="77777777" w:rsidR="003B488A" w:rsidRDefault="0088540B">
      <w:pPr>
        <w:pStyle w:val="Heading1"/>
        <w:pBdr>
          <w:bottom w:val="single" w:sz="6" w:space="4" w:color="1C2B30"/>
        </w:pBdr>
        <w:spacing w:before="360" w:after="160"/>
      </w:pPr>
      <w:r>
        <w:rPr>
          <w:rFonts w:ascii="Georgia" w:eastAsia="Georgia" w:hAnsi="Georgia" w:cs="Georgia"/>
          <w:b/>
          <w:bCs/>
          <w:color w:val="1C2B30"/>
          <w:sz w:val="30"/>
          <w:szCs w:val="30"/>
        </w:rPr>
        <w:lastRenderedPageBreak/>
        <w:t>1. Purpose of this document</w:t>
      </w:r>
    </w:p>
    <w:p w14:paraId="2E05D13D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This is a record of how the MSME 43B(h) Compliance Ledger application was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actually b</w:t>
      </w:r>
      <w:r>
        <w:rPr>
          <w:rFonts w:ascii="Calibri" w:eastAsia="Calibri" w:hAnsi="Calibri" w:cs="Calibri"/>
          <w:color w:val="000000"/>
          <w:sz w:val="22"/>
          <w:szCs w:val="22"/>
        </w:rPr>
        <w:t>uilt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— the tools used, the standard process followed for each change, and how each version was tested before being handed over. It is meant as a reference if the tool needs to be extended, handed to another developer, or explained to a reviewing partner or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ICAI colleague.</w:t>
      </w:r>
    </w:p>
    <w:p w14:paraId="3038E1B6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This is not a user guide. For day-to-day operating instructions, see the separate Operator Manual.</w:t>
      </w:r>
    </w:p>
    <w:p w14:paraId="1137C0B6" w14:textId="77777777" w:rsidR="003B488A" w:rsidRDefault="0088540B">
      <w:pPr>
        <w:pStyle w:val="Heading1"/>
        <w:pBdr>
          <w:bottom w:val="single" w:sz="6" w:space="4" w:color="1C2B30"/>
        </w:pBdr>
        <w:spacing w:before="360" w:after="160"/>
      </w:pPr>
      <w:r>
        <w:rPr>
          <w:rFonts w:ascii="Georgia" w:eastAsia="Georgia" w:hAnsi="Georgia" w:cs="Georgia"/>
          <w:b/>
          <w:bCs/>
          <w:color w:val="1C2B30"/>
          <w:sz w:val="30"/>
          <w:szCs w:val="30"/>
        </w:rPr>
        <w:t>2. Technology stack used</w:t>
      </w:r>
    </w:p>
    <w:tbl>
      <w:tblPr>
        <w:tblW w:w="5000" w:type="pct"/>
        <w:tblBorders>
          <w:top w:val="single" w:sz="4" w:space="0" w:color="D9D0BA"/>
          <w:left w:val="single" w:sz="4" w:space="0" w:color="D9D0BA"/>
          <w:bottom w:val="single" w:sz="4" w:space="0" w:color="D9D0BA"/>
          <w:right w:val="single" w:sz="4" w:space="0" w:color="D9D0BA"/>
          <w:insideH w:val="single" w:sz="4" w:space="0" w:color="D9D0BA"/>
          <w:insideV w:val="single" w:sz="4" w:space="0" w:color="D9D0B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6297"/>
      </w:tblGrid>
      <w:tr w:rsidR="003B488A" w14:paraId="0F70D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8A5A0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8C56F" w14:textId="77777777" w:rsidR="003B488A" w:rsidRDefault="0088540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300" w:type="dxa"/>
            <w:shd w:val="clear" w:color="auto" w:fill="8A5A0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AF975" w14:textId="77777777" w:rsidR="003B488A" w:rsidRDefault="0088540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 in this project</w:t>
            </w:r>
          </w:p>
        </w:tc>
      </w:tr>
      <w:tr w:rsidR="003B488A" w14:paraId="0388B2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1B9A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Python 3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E818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The application language throughout — chosen for the standard-library GUI toolkit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Tkinter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 so the finished tool needs no separate runtime installed on the user's PC once packaged.</w:t>
            </w:r>
          </w:p>
        </w:tc>
      </w:tr>
      <w:tr w:rsidR="003B488A" w14:paraId="3979E1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205E" w14:textId="77777777" w:rsidR="003B488A" w:rsidRDefault="0088540B">
            <w:proofErr w:type="spellStart"/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ttk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729D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Built-in Python GUI library used for every window, button, t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able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Treeview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), and dialog. No external UI framework was added, keeping the dependency list minimal.</w:t>
            </w:r>
          </w:p>
        </w:tc>
      </w:tr>
      <w:tr w:rsidR="003B488A" w14:paraId="095BB2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3E88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SQLite (sqlite3)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A3CC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Built-in Python database engine used for multi-client storage (v11 onward). Stores each client's bills, vendor categories, and financial-year setting in a single local file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msme_clients.db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 — no server or internet connection involved.</w:t>
            </w:r>
          </w:p>
        </w:tc>
      </w:tr>
    </w:tbl>
    <w:p w14:paraId="1DD73B4F" w14:textId="77777777" w:rsidR="003B488A" w:rsidRDefault="003B488A">
      <w:pPr>
        <w:spacing w:before="160"/>
      </w:pPr>
    </w:p>
    <w:tbl>
      <w:tblPr>
        <w:tblW w:w="5000" w:type="pct"/>
        <w:tblBorders>
          <w:top w:val="single" w:sz="4" w:space="0" w:color="D9D0BA"/>
          <w:left w:val="single" w:sz="4" w:space="0" w:color="D9D0BA"/>
          <w:bottom w:val="single" w:sz="4" w:space="0" w:color="D9D0BA"/>
          <w:right w:val="single" w:sz="4" w:space="0" w:color="D9D0BA"/>
          <w:insideH w:val="single" w:sz="4" w:space="0" w:color="D9D0BA"/>
          <w:insideV w:val="single" w:sz="4" w:space="0" w:color="D9D0B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6297"/>
      </w:tblGrid>
      <w:tr w:rsidR="003B488A" w14:paraId="18016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8A5A0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B1A24" w14:textId="77777777" w:rsidR="003B488A" w:rsidRDefault="0088540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300" w:type="dxa"/>
            <w:shd w:val="clear" w:color="auto" w:fill="8A5A0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6CC1D" w14:textId="77777777" w:rsidR="003B488A" w:rsidRDefault="0088540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Role in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this project</w:t>
            </w:r>
          </w:p>
        </w:tc>
      </w:tr>
      <w:tr w:rsidR="003B488A" w14:paraId="1F2118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1AC6" w14:textId="77777777" w:rsidR="003B488A" w:rsidRDefault="0088540B">
            <w:proofErr w:type="spellStart"/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openpyxl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E1AA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Reads .xlsx exports from Tally (Purchase Register, Payment Register, Day Book, Creditors Ledger) and writes the formatted Excel report output.</w:t>
            </w:r>
          </w:p>
        </w:tc>
      </w:tr>
      <w:tr w:rsidR="003B488A" w14:paraId="77E5AB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81CE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csv (standard library)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8EA1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Handles the manual/CSV data-entry route and the plain CSV export option.</w:t>
            </w:r>
          </w:p>
        </w:tc>
      </w:tr>
      <w:tr w:rsidR="003B488A" w14:paraId="1F77E7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E8FC" w14:textId="77777777" w:rsidR="003B488A" w:rsidRDefault="0088540B">
            <w:proofErr w:type="spellStart"/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reportlab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DD00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Generates the PDF report output, including an embedded Unicode font so the ₹ symbol renders correctly rather than as a missing-character box.</w:t>
            </w:r>
          </w:p>
        </w:tc>
      </w:tr>
    </w:tbl>
    <w:p w14:paraId="55EA6ADA" w14:textId="77777777" w:rsidR="003B488A" w:rsidRDefault="003B488A">
      <w:pPr>
        <w:spacing w:before="160"/>
      </w:pPr>
    </w:p>
    <w:tbl>
      <w:tblPr>
        <w:tblW w:w="5000" w:type="pct"/>
        <w:tblBorders>
          <w:top w:val="single" w:sz="4" w:space="0" w:color="D9D0BA"/>
          <w:left w:val="single" w:sz="4" w:space="0" w:color="D9D0BA"/>
          <w:bottom w:val="single" w:sz="4" w:space="0" w:color="D9D0BA"/>
          <w:right w:val="single" w:sz="4" w:space="0" w:color="D9D0BA"/>
          <w:insideH w:val="single" w:sz="4" w:space="0" w:color="D9D0BA"/>
          <w:insideV w:val="single" w:sz="4" w:space="0" w:color="D9D0B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6297"/>
      </w:tblGrid>
      <w:tr w:rsidR="003B488A" w14:paraId="317FB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8A5A0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20ED4" w14:textId="77777777" w:rsidR="003B488A" w:rsidRDefault="0088540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300" w:type="dxa"/>
            <w:shd w:val="clear" w:color="auto" w:fill="8A5A0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CFA87E" w14:textId="77777777" w:rsidR="003B488A" w:rsidRDefault="0088540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 in this project</w:t>
            </w:r>
          </w:p>
        </w:tc>
      </w:tr>
      <w:tr w:rsidR="003B488A" w14:paraId="7EE042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FBDE" w14:textId="77777777" w:rsidR="003B488A" w:rsidRDefault="0088540B">
            <w:proofErr w:type="spellStart"/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PyInstaller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2A6D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Bundles the Python script and its dependencies into a single standalone 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exe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for Windows, so end users don't need Python installed.</w:t>
            </w:r>
          </w:p>
        </w:tc>
      </w:tr>
      <w:tr w:rsidR="003B488A" w14:paraId="5B3204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182F" w14:textId="77777777" w:rsidR="003B488A" w:rsidRDefault="0088540B">
            <w:proofErr w:type="spellStart"/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Xvfb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ImageMagick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C839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 xml:space="preserve">Used during development to run the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Tkinter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application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headlessly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(without a physical display) and captu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re real screenshots for visual verification before every handover — not part of the shipped application.</w:t>
            </w:r>
          </w:p>
        </w:tc>
      </w:tr>
      <w:tr w:rsidR="003B488A" w14:paraId="275D23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7747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LibreOffice (headless)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9B42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Used during development to convert generated Excel/PDF/Word files to images for visual proofing before delivery — also not part of the shipped application.</w:t>
            </w:r>
          </w:p>
        </w:tc>
      </w:tr>
    </w:tbl>
    <w:p w14:paraId="3B1CF8EE" w14:textId="77777777" w:rsidR="003B488A" w:rsidRDefault="0088540B">
      <w:pPr>
        <w:pStyle w:val="Heading1"/>
        <w:pBdr>
          <w:bottom w:val="single" w:sz="6" w:space="4" w:color="1C2B30"/>
        </w:pBdr>
        <w:spacing w:before="360" w:after="160"/>
      </w:pPr>
      <w:r>
        <w:rPr>
          <w:rFonts w:ascii="Georgia" w:eastAsia="Georgia" w:hAnsi="Georgia" w:cs="Georgia"/>
          <w:b/>
          <w:bCs/>
          <w:color w:val="1C2B30"/>
          <w:sz w:val="30"/>
          <w:szCs w:val="30"/>
        </w:rPr>
        <w:t>3. Standard process followed for each change</w:t>
      </w:r>
    </w:p>
    <w:p w14:paraId="61869747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Every feature addition or bug fix followed the same se</w:t>
      </w:r>
      <w:r>
        <w:rPr>
          <w:rFonts w:ascii="Calibri" w:eastAsia="Calibri" w:hAnsi="Calibri" w:cs="Calibri"/>
          <w:color w:val="000000"/>
          <w:sz w:val="22"/>
          <w:szCs w:val="22"/>
        </w:rPr>
        <w:t>quence, regardless of size:</w:t>
      </w:r>
    </w:p>
    <w:p w14:paraId="03667050" w14:textId="77777777" w:rsidR="003B488A" w:rsidRDefault="0088540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Understand the real data first. Wherever real Tally exports were available, they were inspected directly (column by column, row by row) before writing or changing any code — assumptions about report layout were treated as unreli</w:t>
      </w:r>
      <w:r>
        <w:rPr>
          <w:rFonts w:ascii="Calibri" w:eastAsia="Calibri" w:hAnsi="Calibri" w:cs="Calibri"/>
          <w:sz w:val="22"/>
          <w:szCs w:val="22"/>
        </w:rPr>
        <w:t>able until confirmed against an actual file.</w:t>
      </w:r>
    </w:p>
    <w:p w14:paraId="0BEF67A9" w14:textId="77777777" w:rsidR="003B488A" w:rsidRDefault="0088540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Reproduce the problem in isolation. For bug reports, a small synthetic test case was built to reproduce the exact issue before attempting a fix — this made it possible to confirm the fix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worked</w:t>
      </w:r>
      <w:proofErr w:type="gramEnd"/>
      <w:r>
        <w:rPr>
          <w:rFonts w:ascii="Calibri" w:eastAsia="Calibri" w:hAnsi="Calibri" w:cs="Calibri"/>
          <w:sz w:val="22"/>
          <w:szCs w:val="22"/>
        </w:rPr>
        <w:t>, not jus</w:t>
      </w:r>
      <w:r>
        <w:rPr>
          <w:rFonts w:ascii="Calibri" w:eastAsia="Calibri" w:hAnsi="Calibri" w:cs="Calibri"/>
          <w:sz w:val="22"/>
          <w:szCs w:val="22"/>
        </w:rPr>
        <w:t>t that the symptom disappeared.</w:t>
      </w:r>
    </w:p>
    <w:p w14:paraId="7A687384" w14:textId="77777777" w:rsidR="003B488A" w:rsidRDefault="0088540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Make the change.</w:t>
      </w:r>
    </w:p>
    <w:p w14:paraId="142486D7" w14:textId="77777777" w:rsidR="003B488A" w:rsidRDefault="0088540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Re-test against both synthetic cases and the real client file, side by side, comparing totals (</w:t>
      </w:r>
      <w:proofErr w:type="gramStart"/>
      <w:r>
        <w:rPr>
          <w:rFonts w:ascii="Calibri" w:eastAsia="Calibri" w:hAnsi="Calibri" w:cs="Calibri"/>
          <w:sz w:val="22"/>
          <w:szCs w:val="22"/>
        </w:rPr>
        <w:t>e.g.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total purchase value) across methods as a cross-check for correctness.</w:t>
      </w:r>
    </w:p>
    <w:p w14:paraId="5855B18F" w14:textId="77777777" w:rsidR="003B488A" w:rsidRDefault="0088540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Visually verify. For any UI change, the application was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run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headlessly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via </w:t>
      </w:r>
      <w:proofErr w:type="spellStart"/>
      <w:r>
        <w:rPr>
          <w:rFonts w:ascii="Calibri" w:eastAsia="Calibri" w:hAnsi="Calibri" w:cs="Calibri"/>
          <w:sz w:val="22"/>
          <w:szCs w:val="22"/>
        </w:rPr>
        <w:t>Xvfb</w:t>
      </w:r>
      <w:proofErr w:type="spellEnd"/>
      <w:r>
        <w:rPr>
          <w:rFonts w:ascii="Calibri" w:eastAsia="Calibri" w:hAnsi="Calibri" w:cs="Calibri"/>
          <w:sz w:val="22"/>
          <w:szCs w:val="22"/>
        </w:rPr>
        <w:t>) and screenshotted, then the screenshot was reviewed before calling a change complete — not just assumed correct from reading the code.</w:t>
      </w:r>
    </w:p>
    <w:p w14:paraId="6A89916A" w14:textId="77777777" w:rsidR="003B488A" w:rsidRDefault="0088540B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sz w:val="22"/>
          <w:szCs w:val="22"/>
        </w:rPr>
        <w:t>Hand over with a plain-langua</w:t>
      </w:r>
      <w:r>
        <w:rPr>
          <w:rFonts w:ascii="Calibri" w:eastAsia="Calibri" w:hAnsi="Calibri" w:cs="Calibri"/>
          <w:sz w:val="22"/>
          <w:szCs w:val="22"/>
        </w:rPr>
        <w:t>ge explanation of what changed and why, including any limitation discovered along the way.</w:t>
      </w:r>
    </w:p>
    <w:tbl>
      <w:tblPr>
        <w:tblW w:w="5000" w:type="pct"/>
        <w:tblBorders>
          <w:top w:val="single" w:sz="8" w:space="0" w:color="8A5A0B"/>
          <w:left w:val="single" w:sz="8" w:space="0" w:color="8A5A0B"/>
          <w:bottom w:val="single" w:sz="8" w:space="0" w:color="8A5A0B"/>
          <w:right w:val="single" w:sz="8" w:space="0" w:color="8A5A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6"/>
      </w:tblGrid>
      <w:tr w:rsidR="003B488A" w14:paraId="6D2ED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1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9C80E0" w14:textId="77777777" w:rsidR="003B488A" w:rsidRDefault="0088540B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A5A0B"/>
                <w:sz w:val="21"/>
                <w:szCs w:val="21"/>
              </w:rPr>
              <w:t>Why real data mattered so much here</w:t>
            </w:r>
          </w:p>
          <w:p w14:paraId="2108E466" w14:textId="77777777" w:rsidR="003B488A" w:rsidRDefault="0088540B">
            <w:pPr>
              <w:spacing w:after="40"/>
            </w:pPr>
            <w:r>
              <w:rPr>
                <w:rFonts w:ascii="Calibri" w:eastAsia="Calibri" w:hAnsi="Calibri" w:cs="Calibri"/>
                <w:color w:val="1C2B30"/>
                <w:sz w:val="21"/>
                <w:szCs w:val="21"/>
              </w:rPr>
              <w:t xml:space="preserve">Several of the more important fixes in this project — the multi-row voucher structure, the per-party grouped ledger format, Journal vouchers that increase rather than reduce a balance, and </w:t>
            </w:r>
            <w:proofErr w:type="spellStart"/>
            <w:r>
              <w:rPr>
                <w:rFonts w:ascii="Calibri" w:eastAsia="Calibri" w:hAnsi="Calibri" w:cs="Calibri"/>
                <w:color w:val="1C2B30"/>
                <w:sz w:val="21"/>
                <w:szCs w:val="21"/>
              </w:rPr>
              <w:t>Vch</w:t>
            </w:r>
            <w:proofErr w:type="spellEnd"/>
            <w:r>
              <w:rPr>
                <w:rFonts w:ascii="Calibri" w:eastAsia="Calibri" w:hAnsi="Calibri" w:cs="Calibri"/>
                <w:color w:val="1C2B30"/>
                <w:sz w:val="21"/>
                <w:szCs w:val="21"/>
              </w:rPr>
              <w:t xml:space="preserve"> No. collisions between unrelated vouchers — were only discovera</w:t>
            </w:r>
            <w:r>
              <w:rPr>
                <w:rFonts w:ascii="Calibri" w:eastAsia="Calibri" w:hAnsi="Calibri" w:cs="Calibri"/>
                <w:color w:val="1C2B30"/>
                <w:sz w:val="21"/>
                <w:szCs w:val="21"/>
              </w:rPr>
              <w:t>ble by inspecting actual Tally exports. None of these would have been caught by testing against invented sample data alone.</w:t>
            </w:r>
          </w:p>
        </w:tc>
      </w:tr>
    </w:tbl>
    <w:p w14:paraId="397E3202" w14:textId="77777777" w:rsidR="003B488A" w:rsidRDefault="0088540B">
      <w:pPr>
        <w:pStyle w:val="Heading1"/>
        <w:pBdr>
          <w:bottom w:val="single" w:sz="6" w:space="4" w:color="1C2B30"/>
        </w:pBdr>
        <w:spacing w:before="360" w:after="160"/>
      </w:pPr>
      <w:r>
        <w:rPr>
          <w:rFonts w:ascii="Georgia" w:eastAsia="Georgia" w:hAnsi="Georgia" w:cs="Georgia"/>
          <w:b/>
          <w:bCs/>
          <w:color w:val="1C2B30"/>
          <w:sz w:val="30"/>
          <w:szCs w:val="30"/>
        </w:rPr>
        <w:t>4. Version history summary</w:t>
      </w:r>
    </w:p>
    <w:p w14:paraId="39514960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 condensed record of what each version added, for traceability:</w:t>
      </w:r>
    </w:p>
    <w:tbl>
      <w:tblPr>
        <w:tblW w:w="5000" w:type="pct"/>
        <w:tblBorders>
          <w:top w:val="single" w:sz="4" w:space="0" w:color="D9D0BA"/>
          <w:left w:val="single" w:sz="4" w:space="0" w:color="D9D0BA"/>
          <w:bottom w:val="single" w:sz="4" w:space="0" w:color="D9D0BA"/>
          <w:right w:val="single" w:sz="4" w:space="0" w:color="D9D0BA"/>
          <w:insideH w:val="single" w:sz="4" w:space="0" w:color="D9D0BA"/>
          <w:insideV w:val="single" w:sz="4" w:space="0" w:color="D9D0B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6297"/>
      </w:tblGrid>
      <w:tr w:rsidR="003B488A" w14:paraId="729A0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8A5A0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8A8C2" w14:textId="77777777" w:rsidR="003B488A" w:rsidRDefault="0088540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6300" w:type="dxa"/>
            <w:shd w:val="clear" w:color="auto" w:fill="8A5A0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F2637" w14:textId="77777777" w:rsidR="003B488A" w:rsidRDefault="0088540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added</w:t>
            </w:r>
          </w:p>
        </w:tc>
      </w:tr>
      <w:tr w:rsidR="003B488A" w14:paraId="075C41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889A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v1–v3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3A11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 xml:space="preserve">Initial browser-based (HTML) prototype, then converted to 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Tkinter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desktop application with CSV import and manual due-date calculation.</w:t>
            </w:r>
          </w:p>
        </w:tc>
      </w:tr>
      <w:tr w:rsidR="003B488A" w14:paraId="787A7B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4125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v4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13E1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 xml:space="preserve">Visual redesign — gradient header,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-coded stat cards, hover-effect buttons, tinted table rows.</w:t>
            </w:r>
          </w:p>
        </w:tc>
      </w:tr>
      <w:tr w:rsidR="003B488A" w14:paraId="34B37E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9245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v5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08DA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Added direct Tally Excel import (separate Purchase Register + Payment Register files), with flexible column-name detection.</w:t>
            </w:r>
          </w:p>
        </w:tc>
      </w:tr>
      <w:tr w:rsidR="003B488A" w14:paraId="2BB19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C637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v6–v7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1A6D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Added single-file 'Day Book' import with automatic Purchase/Payment classification; added an explicit 'Import Creditors Ledge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r' entry point; fixed a false bill-to-payment matching bug caused by relying on Tally's internal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Vch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No. counters.</w:t>
            </w:r>
          </w:p>
        </w:tc>
      </w:tr>
      <w:tr w:rsidR="003B488A" w14:paraId="0C22E7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E8B0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v8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9077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Added support for Tally's per-party 'grouped ledger' export format (Ledger: header blocks); fixed Journal vouchers being misclassified wh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en they increase rather than reduce a balance.</w:t>
            </w:r>
          </w:p>
        </w:tc>
      </w:tr>
      <w:tr w:rsidR="003B488A" w14:paraId="75AA37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6FB1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v9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A43C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 xml:space="preserve">Rebuilt the disallowance calculation around actual amount outstanding at year-end, correctly handling part-paid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bills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and same-year-late payments (previously wrongly disallowed in full).</w:t>
            </w:r>
          </w:p>
        </w:tc>
      </w:tr>
      <w:tr w:rsidR="003B488A" w14:paraId="2A7D60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77E6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v10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831A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Refined bill-vs-settlement classification to use voucher type first and Dr/Cr side only for genuinely ambiguous Journal/Debit Note entries, excluding unrelated items (rent, drawings, commission) routed through a creditor's ledger.</w:t>
            </w:r>
          </w:p>
        </w:tc>
      </w:tr>
      <w:tr w:rsidR="003B488A" w14:paraId="5D723E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0EBC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v11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086E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Added multi-client d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atabase storage with auto-save, and formatted Excel and PDF report export in addition to CSV.</w:t>
            </w:r>
          </w:p>
        </w:tc>
      </w:tr>
      <w:tr w:rsidR="003B488A" w14:paraId="100A1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B21D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lastRenderedPageBreak/>
              <w:t>v12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BAF5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Rebuilt Client Master with Trade Name/PAN/GSTIN fields; made Financial Year a first-class dimension (client + FY, not just client) so multiple years of data coexist safely; added Dashboard and Report History tabs; added client search and professional auto-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versioned file naming.</w:t>
            </w:r>
          </w:p>
        </w:tc>
      </w:tr>
      <w:tr w:rsidR="003B488A" w14:paraId="2CC99F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1003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v13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4757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Fixed over-broad Journal-voucher exclusion: real purchases recorded via Journal vouchers (not just dedicated Purchase vouchers) were being silently dropped, undercounting vendors. Replaced with a narrow, auditable exclusion list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(salary, drawings, statutory dues, rounding, etc.) so genuine purchases pass through while non-vendor items are still filtered.</w:t>
            </w:r>
          </w:p>
        </w:tc>
      </w:tr>
      <w:tr w:rsidR="003B488A" w14:paraId="3EF42A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F7BA" w14:textId="77777777" w:rsidR="003B488A" w:rsidRDefault="0088540B">
            <w:r>
              <w:rPr>
                <w:rFonts w:ascii="Consolas" w:eastAsia="Consolas" w:hAnsi="Consolas" w:cs="Consolas"/>
                <w:b/>
                <w:bCs/>
                <w:color w:val="1C2B30"/>
                <w:sz w:val="19"/>
                <w:szCs w:val="19"/>
              </w:rPr>
              <w:t>v14 (final)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78E9" w14:textId="77777777" w:rsidR="003B488A" w:rsidRDefault="0088540B">
            <w:r>
              <w:rPr>
                <w:rFonts w:ascii="Calibri" w:eastAsia="Calibri" w:hAnsi="Calibri" w:cs="Calibri"/>
                <w:sz w:val="19"/>
                <w:szCs w:val="19"/>
              </w:rPr>
              <w:t>Added a dedicated Clause 26 Report as its own module: a vendor-wise summary tab distinct from the bill-wise MSME C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ompliance view, with its own Excel (two-sheet) and PDF export, logged separately in Report History. Extended the non-vendor exclusion list (rent, commission,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licence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fees, reimbursements, utilities) after finding a real Office Rent entry had been wrongly r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e-included by the v13 change — caught and fixed via regression testing against two real client files before final handover.</w:t>
            </w:r>
          </w:p>
        </w:tc>
      </w:tr>
    </w:tbl>
    <w:p w14:paraId="37FE49C1" w14:textId="77777777" w:rsidR="003B488A" w:rsidRDefault="0088540B">
      <w:pPr>
        <w:pStyle w:val="Heading1"/>
        <w:pBdr>
          <w:bottom w:val="single" w:sz="6" w:space="4" w:color="1C2B30"/>
        </w:pBdr>
        <w:spacing w:before="360" w:after="160"/>
      </w:pPr>
      <w:r>
        <w:rPr>
          <w:rFonts w:ascii="Georgia" w:eastAsia="Georgia" w:hAnsi="Georgia" w:cs="Georgia"/>
          <w:b/>
          <w:bCs/>
          <w:color w:val="1C2B30"/>
          <w:sz w:val="30"/>
          <w:szCs w:val="30"/>
        </w:rPr>
        <w:t>5. Testing and verification approach</w:t>
      </w:r>
    </w:p>
    <w:p w14:paraId="316055D1" w14:textId="77777777" w:rsidR="003B488A" w:rsidRDefault="0088540B">
      <w:pPr>
        <w:pStyle w:val="Heading2"/>
        <w:spacing w:before="280" w:after="120"/>
      </w:pPr>
      <w:proofErr w:type="gramStart"/>
      <w:r>
        <w:rPr>
          <w:rFonts w:ascii="Georgia" w:eastAsia="Georgia" w:hAnsi="Georgia" w:cs="Georgia"/>
          <w:b/>
          <w:bCs/>
          <w:color w:val="2F5D52"/>
          <w:sz w:val="24"/>
          <w:szCs w:val="24"/>
        </w:rPr>
        <w:t>5.1  Automated</w:t>
      </w:r>
      <w:proofErr w:type="gramEnd"/>
      <w:r>
        <w:rPr>
          <w:rFonts w:ascii="Georgia" w:eastAsia="Georgia" w:hAnsi="Georgia" w:cs="Georgia"/>
          <w:b/>
          <w:bCs/>
          <w:color w:val="2F5D52"/>
          <w:sz w:val="24"/>
          <w:szCs w:val="24"/>
        </w:rPr>
        <w:t xml:space="preserve"> headless testing</w:t>
      </w:r>
    </w:p>
    <w:p w14:paraId="57C9118F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Because this is a desktop GUI application, an X virtual frameb</w:t>
      </w:r>
      <w:r>
        <w:rPr>
          <w:rFonts w:ascii="Calibri" w:eastAsia="Calibri" w:hAnsi="Calibri" w:cs="Calibri"/>
          <w:color w:val="000000"/>
          <w:sz w:val="22"/>
          <w:szCs w:val="22"/>
        </w:rPr>
        <w:t>uffer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Xvfb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 was used to run it without a physical screen, driving it directly through Python rather than by hand-clicking, so each test could be repeated exactly and quickly after every change.</w:t>
      </w:r>
    </w:p>
    <w:p w14:paraId="57B38499" w14:textId="77777777" w:rsidR="003B488A" w:rsidRDefault="0088540B">
      <w:pPr>
        <w:pStyle w:val="Heading2"/>
        <w:spacing w:before="280" w:after="120"/>
      </w:pPr>
      <w:proofErr w:type="gramStart"/>
      <w:r>
        <w:rPr>
          <w:rFonts w:ascii="Georgia" w:eastAsia="Georgia" w:hAnsi="Georgia" w:cs="Georgia"/>
          <w:b/>
          <w:bCs/>
          <w:color w:val="2F5D52"/>
          <w:sz w:val="24"/>
          <w:szCs w:val="24"/>
        </w:rPr>
        <w:t>5.2  Real</w:t>
      </w:r>
      <w:proofErr w:type="gramEnd"/>
      <w:r>
        <w:rPr>
          <w:rFonts w:ascii="Georgia" w:eastAsia="Georgia" w:hAnsi="Georgia" w:cs="Georgia"/>
          <w:b/>
          <w:bCs/>
          <w:color w:val="2F5D52"/>
          <w:sz w:val="24"/>
          <w:szCs w:val="24"/>
        </w:rPr>
        <w:t>-data cross-checks</w:t>
      </w:r>
    </w:p>
    <w:p w14:paraId="1CF2BFC5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Wherever more than one import rou</w:t>
      </w:r>
      <w:r>
        <w:rPr>
          <w:rFonts w:ascii="Calibri" w:eastAsia="Calibri" w:hAnsi="Calibri" w:cs="Calibri"/>
          <w:color w:val="000000"/>
          <w:sz w:val="22"/>
          <w:szCs w:val="22"/>
        </w:rPr>
        <w:t>te could describe the same underlying data (for example, a Purchase Register file versus a combined Creditors Ledger file), totals were compared across both routes as a sanity check — matching totals gave confidence that a parsing change hadn't silently br</w:t>
      </w:r>
      <w:r>
        <w:rPr>
          <w:rFonts w:ascii="Calibri" w:eastAsia="Calibri" w:hAnsi="Calibri" w:cs="Calibri"/>
          <w:color w:val="000000"/>
          <w:sz w:val="22"/>
          <w:szCs w:val="22"/>
        </w:rPr>
        <w:t>oken something elsewhere.</w:t>
      </w:r>
    </w:p>
    <w:p w14:paraId="27B3A868" w14:textId="77777777" w:rsidR="003B488A" w:rsidRDefault="0088540B">
      <w:pPr>
        <w:pStyle w:val="Heading2"/>
        <w:spacing w:before="280" w:after="120"/>
      </w:pPr>
      <w:proofErr w:type="gramStart"/>
      <w:r>
        <w:rPr>
          <w:rFonts w:ascii="Georgia" w:eastAsia="Georgia" w:hAnsi="Georgia" w:cs="Georgia"/>
          <w:b/>
          <w:bCs/>
          <w:color w:val="2F5D52"/>
          <w:sz w:val="24"/>
          <w:szCs w:val="24"/>
        </w:rPr>
        <w:t>5.3  Visual</w:t>
      </w:r>
      <w:proofErr w:type="gramEnd"/>
      <w:r>
        <w:rPr>
          <w:rFonts w:ascii="Georgia" w:eastAsia="Georgia" w:hAnsi="Georgia" w:cs="Georgia"/>
          <w:b/>
          <w:bCs/>
          <w:color w:val="2F5D52"/>
          <w:sz w:val="24"/>
          <w:szCs w:val="24"/>
        </w:rPr>
        <w:t xml:space="preserve"> proofing before every handover</w:t>
      </w:r>
    </w:p>
    <w:p w14:paraId="32506E55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Every Excel and PDF export format was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actually generated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, converted to an image, and reviewed — including checking that the ₹ symbol rendered correctly, that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colour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-coding matched the on-screen table, and that page breaks and print layout looked reasonable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rather than assuming the generating code was correct from inspection alone.</w:t>
      </w:r>
    </w:p>
    <w:p w14:paraId="52A57078" w14:textId="77777777" w:rsidR="003B488A" w:rsidRDefault="0088540B">
      <w:pPr>
        <w:pStyle w:val="Heading2"/>
        <w:spacing w:before="280" w:after="120"/>
      </w:pPr>
      <w:proofErr w:type="gramStart"/>
      <w:r>
        <w:rPr>
          <w:rFonts w:ascii="Georgia" w:eastAsia="Georgia" w:hAnsi="Georgia" w:cs="Georgia"/>
          <w:b/>
          <w:bCs/>
          <w:color w:val="2F5D52"/>
          <w:sz w:val="24"/>
          <w:szCs w:val="24"/>
        </w:rPr>
        <w:t>5.4  A</w:t>
      </w:r>
      <w:proofErr w:type="gramEnd"/>
      <w:r>
        <w:rPr>
          <w:rFonts w:ascii="Georgia" w:eastAsia="Georgia" w:hAnsi="Georgia" w:cs="Georgia"/>
          <w:b/>
          <w:bCs/>
          <w:color w:val="2F5D52"/>
          <w:sz w:val="24"/>
          <w:szCs w:val="24"/>
        </w:rPr>
        <w:t xml:space="preserve"> multi-client regression suite as the final gate</w:t>
      </w:r>
    </w:p>
    <w:p w14:paraId="2FD89146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Before v14 was called final, every major workflow was re-run together in one script against two different real client file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s: creating clients, switching financial years, importing, computing, and generating all five export formats (CSV, Excel, PDF, and both Clause 26 formats). This full-suite run is what caught a genuine regression — a narrower Journal-voucher classification </w:t>
      </w:r>
      <w:r>
        <w:rPr>
          <w:rFonts w:ascii="Calibri" w:eastAsia="Calibri" w:hAnsi="Calibri" w:cs="Calibri"/>
          <w:color w:val="000000"/>
          <w:sz w:val="22"/>
          <w:szCs w:val="22"/>
        </w:rPr>
        <w:t>change made to fix one client's data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Kantilal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Raskar's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Material Purchase entries) had unintentionally reversed an earlier fix for a different client's data (an Office Rent entry that should never count as a purchase). The fix was to widen the exclusion li</w:t>
      </w:r>
      <w:r>
        <w:rPr>
          <w:rFonts w:ascii="Calibri" w:eastAsia="Calibri" w:hAnsi="Calibri" w:cs="Calibri"/>
          <w:color w:val="000000"/>
          <w:sz w:val="22"/>
          <w:szCs w:val="22"/>
        </w:rPr>
        <w:t>st rather than narrow the earlier one, then re-run the same suite against both files to confirm both were correct simultaneously — not just the one being actively worked on.</w:t>
      </w:r>
    </w:p>
    <w:tbl>
      <w:tblPr>
        <w:tblW w:w="5000" w:type="pct"/>
        <w:tblBorders>
          <w:top w:val="single" w:sz="8" w:space="0" w:color="7A2E2E"/>
          <w:left w:val="single" w:sz="8" w:space="0" w:color="7A2E2E"/>
          <w:bottom w:val="single" w:sz="8" w:space="0" w:color="7A2E2E"/>
          <w:right w:val="single" w:sz="8" w:space="0" w:color="7A2E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6"/>
      </w:tblGrid>
      <w:tr w:rsidR="003B488A" w14:paraId="253D0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9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49F091" w14:textId="77777777" w:rsidR="003B488A" w:rsidRDefault="0088540B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7A2E2E"/>
                <w:sz w:val="21"/>
                <w:szCs w:val="21"/>
              </w:rPr>
              <w:lastRenderedPageBreak/>
              <w:t xml:space="preserve">Why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7A2E2E"/>
                <w:sz w:val="21"/>
                <w:szCs w:val="21"/>
              </w:rPr>
              <w:t>this matters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7A2E2E"/>
                <w:sz w:val="21"/>
                <w:szCs w:val="21"/>
              </w:rPr>
              <w:t xml:space="preserve"> going forward</w:t>
            </w:r>
          </w:p>
          <w:p w14:paraId="099E9EC1" w14:textId="77777777" w:rsidR="003B488A" w:rsidRDefault="0088540B">
            <w:pPr>
              <w:spacing w:after="40"/>
            </w:pPr>
            <w:r>
              <w:rPr>
                <w:rFonts w:ascii="Calibri" w:eastAsia="Calibri" w:hAnsi="Calibri" w:cs="Calibri"/>
                <w:color w:val="1C2B30"/>
                <w:sz w:val="21"/>
                <w:szCs w:val="21"/>
              </w:rPr>
              <w:t>Any change to the Journal-voucher classification lo</w:t>
            </w:r>
            <w:r>
              <w:rPr>
                <w:rFonts w:ascii="Calibri" w:eastAsia="Calibri" w:hAnsi="Calibri" w:cs="Calibri"/>
                <w:color w:val="1C2B30"/>
                <w:sz w:val="21"/>
                <w:szCs w:val="21"/>
              </w:rPr>
              <w:t>gic touches every client's data, not just the one being tested. Before shipping such a change, re-run it against multiple real client files with genuinely different Journal-usage patterns, not just the file that motivated the change.</w:t>
            </w:r>
          </w:p>
        </w:tc>
      </w:tr>
    </w:tbl>
    <w:p w14:paraId="326DD39F" w14:textId="77777777" w:rsidR="003B488A" w:rsidRDefault="0088540B">
      <w:pPr>
        <w:pStyle w:val="Heading1"/>
        <w:pBdr>
          <w:bottom w:val="single" w:sz="6" w:space="4" w:color="1C2B30"/>
        </w:pBdr>
        <w:spacing w:before="360" w:after="160"/>
      </w:pPr>
      <w:r>
        <w:rPr>
          <w:rFonts w:ascii="Georgia" w:eastAsia="Georgia" w:hAnsi="Georgia" w:cs="Georgia"/>
          <w:b/>
          <w:bCs/>
          <w:color w:val="1C2B30"/>
          <w:sz w:val="30"/>
          <w:szCs w:val="30"/>
        </w:rPr>
        <w:t>6. Packaging for depl</w:t>
      </w:r>
      <w:r>
        <w:rPr>
          <w:rFonts w:ascii="Georgia" w:eastAsia="Georgia" w:hAnsi="Georgia" w:cs="Georgia"/>
          <w:b/>
          <w:bCs/>
          <w:color w:val="1C2B30"/>
          <w:sz w:val="30"/>
          <w:szCs w:val="30"/>
        </w:rPr>
        <w:t>oyment</w:t>
      </w:r>
    </w:p>
    <w:p w14:paraId="3A5C4BFC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finished script is converted into a single Windows .exe using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PyInstaller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run on a Windows machine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PyInstaller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does not cross-compile from another operating system):</w:t>
      </w:r>
    </w:p>
    <w:p w14:paraId="01DBD87E" w14:textId="77777777" w:rsidR="003B488A" w:rsidRDefault="0088540B">
      <w:pPr>
        <w:pBdr>
          <w:top w:val="single" w:sz="4" w:space="0" w:color="D9D0BA"/>
          <w:left w:val="single" w:sz="4" w:space="0" w:color="D9D0BA"/>
          <w:bottom w:val="single" w:sz="4" w:space="0" w:color="D9D0BA"/>
          <w:right w:val="single" w:sz="4" w:space="0" w:color="D9D0BA"/>
        </w:pBdr>
        <w:shd w:val="clear" w:color="auto" w:fill="F5F1E6"/>
        <w:spacing w:after="140"/>
      </w:pPr>
      <w:r>
        <w:rPr>
          <w:rFonts w:ascii="Consolas" w:eastAsia="Consolas" w:hAnsi="Consolas" w:cs="Consolas"/>
          <w:color w:val="1C2B30"/>
        </w:rPr>
        <w:t xml:space="preserve">pip install </w:t>
      </w:r>
      <w:proofErr w:type="spellStart"/>
      <w:r>
        <w:rPr>
          <w:rFonts w:ascii="Consolas" w:eastAsia="Consolas" w:hAnsi="Consolas" w:cs="Consolas"/>
          <w:color w:val="1C2B30"/>
        </w:rPr>
        <w:t>openpyxl</w:t>
      </w:r>
      <w:proofErr w:type="spellEnd"/>
      <w:r>
        <w:rPr>
          <w:rFonts w:ascii="Consolas" w:eastAsia="Consolas" w:hAnsi="Consolas" w:cs="Consolas"/>
          <w:color w:val="1C2B30"/>
        </w:rPr>
        <w:t xml:space="preserve"> </w:t>
      </w:r>
      <w:proofErr w:type="spellStart"/>
      <w:r>
        <w:rPr>
          <w:rFonts w:ascii="Consolas" w:eastAsia="Consolas" w:hAnsi="Consolas" w:cs="Consolas"/>
          <w:color w:val="1C2B30"/>
        </w:rPr>
        <w:t>reportlab</w:t>
      </w:r>
      <w:proofErr w:type="spellEnd"/>
      <w:r>
        <w:rPr>
          <w:rFonts w:ascii="Consolas" w:eastAsia="Consolas" w:hAnsi="Consolas" w:cs="Consolas"/>
          <w:color w:val="1C2B30"/>
        </w:rPr>
        <w:t xml:space="preserve"> </w:t>
      </w:r>
      <w:proofErr w:type="spellStart"/>
      <w:r>
        <w:rPr>
          <w:rFonts w:ascii="Consolas" w:eastAsia="Consolas" w:hAnsi="Consolas" w:cs="Consolas"/>
          <w:color w:val="1C2B30"/>
        </w:rPr>
        <w:t>pyinstaller</w:t>
      </w:r>
      <w:proofErr w:type="spellEnd"/>
    </w:p>
    <w:p w14:paraId="6A0D1A5C" w14:textId="77777777" w:rsidR="003B488A" w:rsidRDefault="0088540B">
      <w:pPr>
        <w:pBdr>
          <w:top w:val="single" w:sz="4" w:space="0" w:color="D9D0BA"/>
          <w:left w:val="single" w:sz="4" w:space="0" w:color="D9D0BA"/>
          <w:bottom w:val="single" w:sz="4" w:space="0" w:color="D9D0BA"/>
          <w:right w:val="single" w:sz="4" w:space="0" w:color="D9D0BA"/>
        </w:pBdr>
        <w:shd w:val="clear" w:color="auto" w:fill="F5F1E6"/>
        <w:spacing w:after="140"/>
      </w:pPr>
      <w:proofErr w:type="spellStart"/>
      <w:r>
        <w:rPr>
          <w:rFonts w:ascii="Consolas" w:eastAsia="Consolas" w:hAnsi="Consolas" w:cs="Consolas"/>
          <w:color w:val="1C2B30"/>
        </w:rPr>
        <w:t>pyinstaller</w:t>
      </w:r>
      <w:proofErr w:type="spellEnd"/>
      <w:r>
        <w:rPr>
          <w:rFonts w:ascii="Consolas" w:eastAsia="Consolas" w:hAnsi="Consolas" w:cs="Consolas"/>
          <w:color w:val="1C2B30"/>
        </w:rPr>
        <w:t xml:space="preserve"> --</w:t>
      </w:r>
      <w:proofErr w:type="spellStart"/>
      <w:r>
        <w:rPr>
          <w:rFonts w:ascii="Consolas" w:eastAsia="Consolas" w:hAnsi="Consolas" w:cs="Consolas"/>
          <w:color w:val="1C2B30"/>
        </w:rPr>
        <w:t>onefile</w:t>
      </w:r>
      <w:proofErr w:type="spellEnd"/>
      <w:r>
        <w:rPr>
          <w:rFonts w:ascii="Consolas" w:eastAsia="Consolas" w:hAnsi="Consolas" w:cs="Consolas"/>
          <w:color w:val="1C2B30"/>
        </w:rPr>
        <w:t xml:space="preserve"> --windowed --name "MSME_43Bh_Ledger" msme_43bh_app_v11.py</w:t>
      </w:r>
    </w:p>
    <w:p w14:paraId="13B92B4C" w14:textId="77777777" w:rsidR="003B488A" w:rsidRDefault="0088540B">
      <w:pPr>
        <w:spacing w:after="140" w:line="30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resulting MSME_43Bh_Ledger.exe in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dist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folder is the single file distributed to end users — no separate Python installation is required on the machine that runs it.</w:t>
      </w:r>
    </w:p>
    <w:p w14:paraId="41BEADFE" w14:textId="77777777" w:rsidR="003B488A" w:rsidRDefault="0088540B">
      <w:pPr>
        <w:pStyle w:val="Heading1"/>
        <w:pBdr>
          <w:bottom w:val="single" w:sz="6" w:space="4" w:color="1C2B30"/>
        </w:pBdr>
        <w:spacing w:before="360" w:after="160"/>
      </w:pPr>
      <w:r>
        <w:rPr>
          <w:rFonts w:ascii="Georgia" w:eastAsia="Georgia" w:hAnsi="Georgia" w:cs="Georgia"/>
          <w:b/>
          <w:bCs/>
          <w:color w:val="1C2B30"/>
          <w:sz w:val="30"/>
          <w:szCs w:val="30"/>
        </w:rPr>
        <w:t>7. Notes for future maintenance</w:t>
      </w:r>
    </w:p>
    <w:p w14:paraId="4B25C9A2" w14:textId="77777777" w:rsidR="003B488A" w:rsidRDefault="0088540B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2"/>
          <w:szCs w:val="22"/>
        </w:rPr>
        <w:t>Column-name detection (for Tally imports) is alias-</w:t>
      </w:r>
      <w:r>
        <w:rPr>
          <w:rFonts w:ascii="Calibri" w:eastAsia="Calibri" w:hAnsi="Calibri" w:cs="Calibri"/>
          <w:sz w:val="22"/>
          <w:szCs w:val="22"/>
        </w:rPr>
        <w:t xml:space="preserve">based and intentionally permissive — if a future Tally version or a different company's export uses </w:t>
      </w:r>
      <w:proofErr w:type="spellStart"/>
      <w:r>
        <w:rPr>
          <w:rFonts w:ascii="Calibri" w:eastAsia="Calibri" w:hAnsi="Calibri" w:cs="Calibri"/>
          <w:sz w:val="22"/>
          <w:szCs w:val="22"/>
        </w:rPr>
        <w:t>unrecognised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column headings, extend the alias lists rather than rewriting the detection logic.</w:t>
      </w:r>
    </w:p>
    <w:p w14:paraId="03B515F6" w14:textId="77777777" w:rsidR="003B488A" w:rsidRDefault="0088540B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2"/>
          <w:szCs w:val="22"/>
        </w:rPr>
        <w:t>The Dr/Cr-side-first classification logic for the grouped le</w:t>
      </w:r>
      <w:r>
        <w:rPr>
          <w:rFonts w:ascii="Calibri" w:eastAsia="Calibri" w:hAnsi="Calibri" w:cs="Calibri"/>
          <w:sz w:val="22"/>
          <w:szCs w:val="22"/>
        </w:rPr>
        <w:t>dger format is the most delicate part of the parser — any change here should be re-verified against a real exported file, not just synthetic data, given how much that logic depends on real-world Tally usage quirks (</w:t>
      </w:r>
      <w:proofErr w:type="gramStart"/>
      <w:r>
        <w:rPr>
          <w:rFonts w:ascii="Calibri" w:eastAsia="Calibri" w:hAnsi="Calibri" w:cs="Calibri"/>
          <w:sz w:val="22"/>
          <w:szCs w:val="22"/>
        </w:rPr>
        <w:t>e.g.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unrelated expenses routed through a </w:t>
      </w:r>
      <w:r>
        <w:rPr>
          <w:rFonts w:ascii="Calibri" w:eastAsia="Calibri" w:hAnsi="Calibri" w:cs="Calibri"/>
          <w:sz w:val="22"/>
          <w:szCs w:val="22"/>
        </w:rPr>
        <w:t>creditor's ledger).</w:t>
      </w:r>
    </w:p>
    <w:p w14:paraId="55182421" w14:textId="77777777" w:rsidR="003B488A" w:rsidRDefault="0088540B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The database schema (clients / bills / </w:t>
      </w:r>
      <w:proofErr w:type="spellStart"/>
      <w:r>
        <w:rPr>
          <w:rFonts w:ascii="Calibri" w:eastAsia="Calibri" w:hAnsi="Calibri" w:cs="Calibri"/>
          <w:sz w:val="22"/>
          <w:szCs w:val="22"/>
        </w:rPr>
        <w:t>vendor_categories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tables) is intentionally simple — each client's full bill list is rewritten on every save rather than incrementally updated, which is easy to reason about at this data volume but </w:t>
      </w:r>
      <w:r>
        <w:rPr>
          <w:rFonts w:ascii="Calibri" w:eastAsia="Calibri" w:hAnsi="Calibri" w:cs="Calibri"/>
          <w:sz w:val="22"/>
          <w:szCs w:val="22"/>
        </w:rPr>
        <w:t>would need revisiting if client bill counts grew very large.</w:t>
      </w:r>
    </w:p>
    <w:p w14:paraId="1A2EF4CF" w14:textId="77777777" w:rsidR="003B488A" w:rsidRDefault="0088540B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2"/>
          <w:szCs w:val="22"/>
        </w:rPr>
        <w:t>Keep this document updated with each new version, the same way the version history table above was maintained through v1–v14.</w:t>
      </w:r>
    </w:p>
    <w:sectPr w:rsidR="003B488A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5DF24" w14:textId="77777777" w:rsidR="0088540B" w:rsidRDefault="0088540B">
      <w:r>
        <w:separator/>
      </w:r>
    </w:p>
  </w:endnote>
  <w:endnote w:type="continuationSeparator" w:id="0">
    <w:p w14:paraId="628A2EC7" w14:textId="77777777" w:rsidR="0088540B" w:rsidRDefault="00885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459FA" w14:textId="77777777" w:rsidR="003B488A" w:rsidRDefault="0088540B">
    <w:pPr>
      <w:jc w:val="center"/>
    </w:pPr>
    <w:r>
      <w:rPr>
        <w:rFonts w:ascii="Calibri" w:eastAsia="Calibri" w:hAnsi="Calibri" w:cs="Calibri"/>
        <w:color w:val="6B6255"/>
        <w:sz w:val="16"/>
        <w:szCs w:val="16"/>
      </w:rPr>
      <w:t xml:space="preserve">S. D. Nikam &amp; </w:t>
    </w:r>
    <w:proofErr w:type="gramStart"/>
    <w:r>
      <w:rPr>
        <w:rFonts w:ascii="Calibri" w:eastAsia="Calibri" w:hAnsi="Calibri" w:cs="Calibri"/>
        <w:color w:val="6B6255"/>
        <w:sz w:val="16"/>
        <w:szCs w:val="16"/>
      </w:rPr>
      <w:t>Company  ·</w:t>
    </w:r>
    <w:proofErr w:type="gramEnd"/>
    <w:r>
      <w:rPr>
        <w:rFonts w:ascii="Calibri" w:eastAsia="Calibri" w:hAnsi="Calibri" w:cs="Calibri"/>
        <w:color w:val="6B6255"/>
        <w:sz w:val="16"/>
        <w:szCs w:val="16"/>
      </w:rPr>
      <w:t xml:space="preserve">  Page </w:t>
    </w:r>
    <w:r>
      <w:rPr>
        <w:rFonts w:ascii="Calibri" w:eastAsia="Calibri" w:hAnsi="Calibri" w:cs="Calibri"/>
        <w:color w:val="6B6255"/>
        <w:sz w:val="16"/>
        <w:szCs w:val="16"/>
      </w:rPr>
      <w:fldChar w:fldCharType="begin"/>
    </w:r>
    <w:r>
      <w:rPr>
        <w:rFonts w:ascii="Calibri" w:eastAsia="Calibri" w:hAnsi="Calibri" w:cs="Calibri"/>
        <w:color w:val="6B6255"/>
        <w:sz w:val="16"/>
        <w:szCs w:val="16"/>
      </w:rPr>
      <w:instrText>PAGE</w:instrText>
    </w:r>
    <w:r>
      <w:rPr>
        <w:rFonts w:ascii="Calibri" w:eastAsia="Calibri" w:hAnsi="Calibri" w:cs="Calibri"/>
        <w:color w:val="6B6255"/>
        <w:sz w:val="16"/>
        <w:szCs w:val="16"/>
      </w:rPr>
      <w:fldChar w:fldCharType="separate"/>
    </w:r>
    <w:r w:rsidR="002116D4">
      <w:rPr>
        <w:rFonts w:ascii="Calibri" w:eastAsia="Calibri" w:hAnsi="Calibri" w:cs="Calibri"/>
        <w:noProof/>
        <w:color w:val="6B6255"/>
        <w:sz w:val="16"/>
        <w:szCs w:val="16"/>
      </w:rPr>
      <w:t>1</w:t>
    </w:r>
    <w:r>
      <w:rPr>
        <w:rFonts w:ascii="Calibri" w:eastAsia="Calibri" w:hAnsi="Calibri" w:cs="Calibri"/>
        <w:color w:val="6B6255"/>
        <w:sz w:val="16"/>
        <w:szCs w:val="16"/>
      </w:rPr>
      <w:fldChar w:fldCharType="end"/>
    </w:r>
    <w:r>
      <w:rPr>
        <w:rFonts w:ascii="Calibri" w:eastAsia="Calibri" w:hAnsi="Calibri" w:cs="Calibri"/>
        <w:color w:val="6B6255"/>
        <w:sz w:val="16"/>
        <w:szCs w:val="16"/>
      </w:rPr>
      <w:t xml:space="preserve"> of </w:t>
    </w:r>
    <w:r>
      <w:rPr>
        <w:rFonts w:ascii="Calibri" w:eastAsia="Calibri" w:hAnsi="Calibri" w:cs="Calibri"/>
        <w:color w:val="6B6255"/>
        <w:sz w:val="16"/>
        <w:szCs w:val="16"/>
      </w:rPr>
      <w:fldChar w:fldCharType="begin"/>
    </w:r>
    <w:r>
      <w:rPr>
        <w:rFonts w:ascii="Calibri" w:eastAsia="Calibri" w:hAnsi="Calibri" w:cs="Calibri"/>
        <w:color w:val="6B6255"/>
        <w:sz w:val="16"/>
        <w:szCs w:val="16"/>
      </w:rPr>
      <w:instrText>NUMPAGES</w:instrText>
    </w:r>
    <w:r>
      <w:rPr>
        <w:rFonts w:ascii="Calibri" w:eastAsia="Calibri" w:hAnsi="Calibri" w:cs="Calibri"/>
        <w:color w:val="6B6255"/>
        <w:sz w:val="16"/>
        <w:szCs w:val="16"/>
      </w:rPr>
      <w:fldChar w:fldCharType="separate"/>
    </w:r>
    <w:r w:rsidR="002116D4">
      <w:rPr>
        <w:rFonts w:ascii="Calibri" w:eastAsia="Calibri" w:hAnsi="Calibri" w:cs="Calibri"/>
        <w:noProof/>
        <w:color w:val="6B6255"/>
        <w:sz w:val="16"/>
        <w:szCs w:val="16"/>
      </w:rPr>
      <w:t>2</w:t>
    </w:r>
    <w:r>
      <w:rPr>
        <w:rFonts w:ascii="Calibri" w:eastAsia="Calibri" w:hAnsi="Calibri" w:cs="Calibri"/>
        <w:color w:val="6B62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79E14" w14:textId="77777777" w:rsidR="0088540B" w:rsidRDefault="0088540B">
      <w:r>
        <w:separator/>
      </w:r>
    </w:p>
  </w:footnote>
  <w:footnote w:type="continuationSeparator" w:id="0">
    <w:p w14:paraId="1DA6283F" w14:textId="77777777" w:rsidR="0088540B" w:rsidRDefault="00885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BFBAD" w14:textId="77777777" w:rsidR="003B488A" w:rsidRDefault="0088540B">
    <w:pPr>
      <w:pBdr>
        <w:bottom w:val="single" w:sz="4" w:space="4" w:color="D9D0BA"/>
      </w:pBdr>
      <w:jc w:val="right"/>
    </w:pPr>
    <w:r>
      <w:rPr>
        <w:rFonts w:ascii="Calibri" w:eastAsia="Calibri" w:hAnsi="Calibri" w:cs="Calibri"/>
        <w:color w:val="6B6255"/>
        <w:sz w:val="16"/>
        <w:szCs w:val="16"/>
      </w:rPr>
      <w:t>MSME 43B(h) Compliance Ledger — Development 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653"/>
    <w:multiLevelType w:val="hybridMultilevel"/>
    <w:tmpl w:val="93801B94"/>
    <w:lvl w:ilvl="0" w:tplc="683C672A">
      <w:start w:val="1"/>
      <w:numFmt w:val="decimal"/>
      <w:lvlText w:val="%1."/>
      <w:lvlJc w:val="left"/>
      <w:pPr>
        <w:ind w:left="520" w:hanging="260"/>
      </w:pPr>
    </w:lvl>
    <w:lvl w:ilvl="1" w:tplc="169E0798">
      <w:numFmt w:val="decimal"/>
      <w:lvlText w:val=""/>
      <w:lvlJc w:val="left"/>
    </w:lvl>
    <w:lvl w:ilvl="2" w:tplc="995E1CCC">
      <w:numFmt w:val="decimal"/>
      <w:lvlText w:val=""/>
      <w:lvlJc w:val="left"/>
    </w:lvl>
    <w:lvl w:ilvl="3" w:tplc="096CEB7E">
      <w:numFmt w:val="decimal"/>
      <w:lvlText w:val=""/>
      <w:lvlJc w:val="left"/>
    </w:lvl>
    <w:lvl w:ilvl="4" w:tplc="BF5A706E">
      <w:numFmt w:val="decimal"/>
      <w:lvlText w:val=""/>
      <w:lvlJc w:val="left"/>
    </w:lvl>
    <w:lvl w:ilvl="5" w:tplc="B9987538">
      <w:numFmt w:val="decimal"/>
      <w:lvlText w:val=""/>
      <w:lvlJc w:val="left"/>
    </w:lvl>
    <w:lvl w:ilvl="6" w:tplc="76121D0A">
      <w:numFmt w:val="decimal"/>
      <w:lvlText w:val=""/>
      <w:lvlJc w:val="left"/>
    </w:lvl>
    <w:lvl w:ilvl="7" w:tplc="8B56ED4C">
      <w:numFmt w:val="decimal"/>
      <w:lvlText w:val=""/>
      <w:lvlJc w:val="left"/>
    </w:lvl>
    <w:lvl w:ilvl="8" w:tplc="FB06AC2C">
      <w:numFmt w:val="decimal"/>
      <w:lvlText w:val=""/>
      <w:lvlJc w:val="left"/>
    </w:lvl>
  </w:abstractNum>
  <w:abstractNum w:abstractNumId="1" w15:restartNumberingAfterBreak="0">
    <w:nsid w:val="0D150E1F"/>
    <w:multiLevelType w:val="hybridMultilevel"/>
    <w:tmpl w:val="F516D76C"/>
    <w:lvl w:ilvl="0" w:tplc="CBD67B8A">
      <w:start w:val="1"/>
      <w:numFmt w:val="decimal"/>
      <w:lvlText w:val="%1."/>
      <w:lvlJc w:val="left"/>
      <w:pPr>
        <w:ind w:left="520" w:hanging="260"/>
      </w:pPr>
    </w:lvl>
    <w:lvl w:ilvl="1" w:tplc="03F2D4EC">
      <w:numFmt w:val="decimal"/>
      <w:lvlText w:val=""/>
      <w:lvlJc w:val="left"/>
    </w:lvl>
    <w:lvl w:ilvl="2" w:tplc="20108490">
      <w:numFmt w:val="decimal"/>
      <w:lvlText w:val=""/>
      <w:lvlJc w:val="left"/>
    </w:lvl>
    <w:lvl w:ilvl="3" w:tplc="1F509EA2">
      <w:numFmt w:val="decimal"/>
      <w:lvlText w:val=""/>
      <w:lvlJc w:val="left"/>
    </w:lvl>
    <w:lvl w:ilvl="4" w:tplc="50DA0CE8">
      <w:numFmt w:val="decimal"/>
      <w:lvlText w:val=""/>
      <w:lvlJc w:val="left"/>
    </w:lvl>
    <w:lvl w:ilvl="5" w:tplc="76448640">
      <w:numFmt w:val="decimal"/>
      <w:lvlText w:val=""/>
      <w:lvlJc w:val="left"/>
    </w:lvl>
    <w:lvl w:ilvl="6" w:tplc="D004CC86">
      <w:numFmt w:val="decimal"/>
      <w:lvlText w:val=""/>
      <w:lvlJc w:val="left"/>
    </w:lvl>
    <w:lvl w:ilvl="7" w:tplc="B75A66C4">
      <w:numFmt w:val="decimal"/>
      <w:lvlText w:val=""/>
      <w:lvlJc w:val="left"/>
    </w:lvl>
    <w:lvl w:ilvl="8" w:tplc="0E10BBC2">
      <w:numFmt w:val="decimal"/>
      <w:lvlText w:val=""/>
      <w:lvlJc w:val="left"/>
    </w:lvl>
  </w:abstractNum>
  <w:abstractNum w:abstractNumId="2" w15:restartNumberingAfterBreak="0">
    <w:nsid w:val="2999012B"/>
    <w:multiLevelType w:val="hybridMultilevel"/>
    <w:tmpl w:val="04A45E62"/>
    <w:lvl w:ilvl="0" w:tplc="397A7F1C">
      <w:start w:val="1"/>
      <w:numFmt w:val="decimal"/>
      <w:lvlText w:val="%1."/>
      <w:lvlJc w:val="left"/>
      <w:pPr>
        <w:ind w:left="520" w:hanging="260"/>
      </w:pPr>
    </w:lvl>
    <w:lvl w:ilvl="1" w:tplc="DA00B1E0">
      <w:numFmt w:val="decimal"/>
      <w:lvlText w:val=""/>
      <w:lvlJc w:val="left"/>
    </w:lvl>
    <w:lvl w:ilvl="2" w:tplc="63F0545A">
      <w:numFmt w:val="decimal"/>
      <w:lvlText w:val=""/>
      <w:lvlJc w:val="left"/>
    </w:lvl>
    <w:lvl w:ilvl="3" w:tplc="7E64361E">
      <w:numFmt w:val="decimal"/>
      <w:lvlText w:val=""/>
      <w:lvlJc w:val="left"/>
    </w:lvl>
    <w:lvl w:ilvl="4" w:tplc="75D4DBA6">
      <w:numFmt w:val="decimal"/>
      <w:lvlText w:val=""/>
      <w:lvlJc w:val="left"/>
    </w:lvl>
    <w:lvl w:ilvl="5" w:tplc="F0544F98">
      <w:numFmt w:val="decimal"/>
      <w:lvlText w:val=""/>
      <w:lvlJc w:val="left"/>
    </w:lvl>
    <w:lvl w:ilvl="6" w:tplc="0C7C735E">
      <w:numFmt w:val="decimal"/>
      <w:lvlText w:val=""/>
      <w:lvlJc w:val="left"/>
    </w:lvl>
    <w:lvl w:ilvl="7" w:tplc="6636C04E">
      <w:numFmt w:val="decimal"/>
      <w:lvlText w:val=""/>
      <w:lvlJc w:val="left"/>
    </w:lvl>
    <w:lvl w:ilvl="8" w:tplc="19F42496">
      <w:numFmt w:val="decimal"/>
      <w:lvlText w:val=""/>
      <w:lvlJc w:val="left"/>
    </w:lvl>
  </w:abstractNum>
  <w:abstractNum w:abstractNumId="3" w15:restartNumberingAfterBreak="0">
    <w:nsid w:val="2B6F6EDC"/>
    <w:multiLevelType w:val="hybridMultilevel"/>
    <w:tmpl w:val="86DE7174"/>
    <w:lvl w:ilvl="0" w:tplc="03BC9626">
      <w:start w:val="1"/>
      <w:numFmt w:val="decimal"/>
      <w:lvlText w:val="%1."/>
      <w:lvlJc w:val="left"/>
      <w:pPr>
        <w:ind w:left="520" w:hanging="260"/>
      </w:pPr>
    </w:lvl>
    <w:lvl w:ilvl="1" w:tplc="99E46B5A">
      <w:numFmt w:val="decimal"/>
      <w:lvlText w:val=""/>
      <w:lvlJc w:val="left"/>
    </w:lvl>
    <w:lvl w:ilvl="2" w:tplc="C4B00DD0">
      <w:numFmt w:val="decimal"/>
      <w:lvlText w:val=""/>
      <w:lvlJc w:val="left"/>
    </w:lvl>
    <w:lvl w:ilvl="3" w:tplc="2A5EE490">
      <w:numFmt w:val="decimal"/>
      <w:lvlText w:val=""/>
      <w:lvlJc w:val="left"/>
    </w:lvl>
    <w:lvl w:ilvl="4" w:tplc="0B647D62">
      <w:numFmt w:val="decimal"/>
      <w:lvlText w:val=""/>
      <w:lvlJc w:val="left"/>
    </w:lvl>
    <w:lvl w:ilvl="5" w:tplc="87EAC14A">
      <w:numFmt w:val="decimal"/>
      <w:lvlText w:val=""/>
      <w:lvlJc w:val="left"/>
    </w:lvl>
    <w:lvl w:ilvl="6" w:tplc="DED2BB94">
      <w:numFmt w:val="decimal"/>
      <w:lvlText w:val=""/>
      <w:lvlJc w:val="left"/>
    </w:lvl>
    <w:lvl w:ilvl="7" w:tplc="D1F2DE8E">
      <w:numFmt w:val="decimal"/>
      <w:lvlText w:val=""/>
      <w:lvlJc w:val="left"/>
    </w:lvl>
    <w:lvl w:ilvl="8" w:tplc="7AACA12E">
      <w:numFmt w:val="decimal"/>
      <w:lvlText w:val=""/>
      <w:lvlJc w:val="left"/>
    </w:lvl>
  </w:abstractNum>
  <w:abstractNum w:abstractNumId="4" w15:restartNumberingAfterBreak="0">
    <w:nsid w:val="33D11291"/>
    <w:multiLevelType w:val="hybridMultilevel"/>
    <w:tmpl w:val="15386E64"/>
    <w:lvl w:ilvl="0" w:tplc="91283188">
      <w:start w:val="1"/>
      <w:numFmt w:val="decimal"/>
      <w:lvlText w:val="%1."/>
      <w:lvlJc w:val="left"/>
      <w:pPr>
        <w:ind w:left="520" w:hanging="260"/>
      </w:pPr>
    </w:lvl>
    <w:lvl w:ilvl="1" w:tplc="88D0066C">
      <w:numFmt w:val="decimal"/>
      <w:lvlText w:val=""/>
      <w:lvlJc w:val="left"/>
    </w:lvl>
    <w:lvl w:ilvl="2" w:tplc="D9F8A510">
      <w:numFmt w:val="decimal"/>
      <w:lvlText w:val=""/>
      <w:lvlJc w:val="left"/>
    </w:lvl>
    <w:lvl w:ilvl="3" w:tplc="FFCCF878">
      <w:numFmt w:val="decimal"/>
      <w:lvlText w:val=""/>
      <w:lvlJc w:val="left"/>
    </w:lvl>
    <w:lvl w:ilvl="4" w:tplc="A3C2CB9A">
      <w:numFmt w:val="decimal"/>
      <w:lvlText w:val=""/>
      <w:lvlJc w:val="left"/>
    </w:lvl>
    <w:lvl w:ilvl="5" w:tplc="86026206">
      <w:numFmt w:val="decimal"/>
      <w:lvlText w:val=""/>
      <w:lvlJc w:val="left"/>
    </w:lvl>
    <w:lvl w:ilvl="6" w:tplc="1CC6580A">
      <w:numFmt w:val="decimal"/>
      <w:lvlText w:val=""/>
      <w:lvlJc w:val="left"/>
    </w:lvl>
    <w:lvl w:ilvl="7" w:tplc="D35AC630">
      <w:numFmt w:val="decimal"/>
      <w:lvlText w:val=""/>
      <w:lvlJc w:val="left"/>
    </w:lvl>
    <w:lvl w:ilvl="8" w:tplc="AC62AA98">
      <w:numFmt w:val="decimal"/>
      <w:lvlText w:val=""/>
      <w:lvlJc w:val="left"/>
    </w:lvl>
  </w:abstractNum>
  <w:abstractNum w:abstractNumId="5" w15:restartNumberingAfterBreak="0">
    <w:nsid w:val="4C3676FD"/>
    <w:multiLevelType w:val="hybridMultilevel"/>
    <w:tmpl w:val="55AE82F0"/>
    <w:lvl w:ilvl="0" w:tplc="9D5E8B5E">
      <w:start w:val="1"/>
      <w:numFmt w:val="decimal"/>
      <w:lvlText w:val="%1."/>
      <w:lvlJc w:val="left"/>
      <w:pPr>
        <w:ind w:left="520" w:hanging="260"/>
      </w:pPr>
    </w:lvl>
    <w:lvl w:ilvl="1" w:tplc="FF7A7EE4">
      <w:numFmt w:val="decimal"/>
      <w:lvlText w:val=""/>
      <w:lvlJc w:val="left"/>
    </w:lvl>
    <w:lvl w:ilvl="2" w:tplc="5574D9CA">
      <w:numFmt w:val="decimal"/>
      <w:lvlText w:val=""/>
      <w:lvlJc w:val="left"/>
    </w:lvl>
    <w:lvl w:ilvl="3" w:tplc="A7D8ACB2">
      <w:numFmt w:val="decimal"/>
      <w:lvlText w:val=""/>
      <w:lvlJc w:val="left"/>
    </w:lvl>
    <w:lvl w:ilvl="4" w:tplc="9E56B75C">
      <w:numFmt w:val="decimal"/>
      <w:lvlText w:val=""/>
      <w:lvlJc w:val="left"/>
    </w:lvl>
    <w:lvl w:ilvl="5" w:tplc="B8307FEC">
      <w:numFmt w:val="decimal"/>
      <w:lvlText w:val=""/>
      <w:lvlJc w:val="left"/>
    </w:lvl>
    <w:lvl w:ilvl="6" w:tplc="DDD60860">
      <w:numFmt w:val="decimal"/>
      <w:lvlText w:val=""/>
      <w:lvlJc w:val="left"/>
    </w:lvl>
    <w:lvl w:ilvl="7" w:tplc="8AF8DB2E">
      <w:numFmt w:val="decimal"/>
      <w:lvlText w:val=""/>
      <w:lvlJc w:val="left"/>
    </w:lvl>
    <w:lvl w:ilvl="8" w:tplc="FB5C9388">
      <w:numFmt w:val="decimal"/>
      <w:lvlText w:val=""/>
      <w:lvlJc w:val="left"/>
    </w:lvl>
  </w:abstractNum>
  <w:abstractNum w:abstractNumId="6" w15:restartNumberingAfterBreak="0">
    <w:nsid w:val="5B3D7F65"/>
    <w:multiLevelType w:val="hybridMultilevel"/>
    <w:tmpl w:val="3B989B08"/>
    <w:lvl w:ilvl="0" w:tplc="E85A5E78">
      <w:start w:val="1"/>
      <w:numFmt w:val="decimal"/>
      <w:lvlText w:val="%1."/>
      <w:lvlJc w:val="left"/>
      <w:pPr>
        <w:ind w:left="520" w:hanging="260"/>
      </w:pPr>
    </w:lvl>
    <w:lvl w:ilvl="1" w:tplc="A73884CE">
      <w:numFmt w:val="decimal"/>
      <w:lvlText w:val=""/>
      <w:lvlJc w:val="left"/>
    </w:lvl>
    <w:lvl w:ilvl="2" w:tplc="580C1816">
      <w:numFmt w:val="decimal"/>
      <w:lvlText w:val=""/>
      <w:lvlJc w:val="left"/>
    </w:lvl>
    <w:lvl w:ilvl="3" w:tplc="882C835A">
      <w:numFmt w:val="decimal"/>
      <w:lvlText w:val=""/>
      <w:lvlJc w:val="left"/>
    </w:lvl>
    <w:lvl w:ilvl="4" w:tplc="7244F5EA">
      <w:numFmt w:val="decimal"/>
      <w:lvlText w:val=""/>
      <w:lvlJc w:val="left"/>
    </w:lvl>
    <w:lvl w:ilvl="5" w:tplc="9E34A626">
      <w:numFmt w:val="decimal"/>
      <w:lvlText w:val=""/>
      <w:lvlJc w:val="left"/>
    </w:lvl>
    <w:lvl w:ilvl="6" w:tplc="A6FA6442">
      <w:numFmt w:val="decimal"/>
      <w:lvlText w:val=""/>
      <w:lvlJc w:val="left"/>
    </w:lvl>
    <w:lvl w:ilvl="7" w:tplc="AA868BFC">
      <w:numFmt w:val="decimal"/>
      <w:lvlText w:val=""/>
      <w:lvlJc w:val="left"/>
    </w:lvl>
    <w:lvl w:ilvl="8" w:tplc="E04096F2">
      <w:numFmt w:val="decimal"/>
      <w:lvlText w:val=""/>
      <w:lvlJc w:val="left"/>
    </w:lvl>
  </w:abstractNum>
  <w:abstractNum w:abstractNumId="7" w15:restartNumberingAfterBreak="0">
    <w:nsid w:val="5BAA618F"/>
    <w:multiLevelType w:val="hybridMultilevel"/>
    <w:tmpl w:val="E116B536"/>
    <w:lvl w:ilvl="0" w:tplc="8C96B960">
      <w:start w:val="1"/>
      <w:numFmt w:val="decimal"/>
      <w:lvlText w:val="%1."/>
      <w:lvlJc w:val="left"/>
      <w:pPr>
        <w:ind w:left="520" w:hanging="260"/>
      </w:pPr>
    </w:lvl>
    <w:lvl w:ilvl="1" w:tplc="21F8A58C">
      <w:numFmt w:val="decimal"/>
      <w:lvlText w:val=""/>
      <w:lvlJc w:val="left"/>
    </w:lvl>
    <w:lvl w:ilvl="2" w:tplc="999A208C">
      <w:numFmt w:val="decimal"/>
      <w:lvlText w:val=""/>
      <w:lvlJc w:val="left"/>
    </w:lvl>
    <w:lvl w:ilvl="3" w:tplc="0A468B86">
      <w:numFmt w:val="decimal"/>
      <w:lvlText w:val=""/>
      <w:lvlJc w:val="left"/>
    </w:lvl>
    <w:lvl w:ilvl="4" w:tplc="030EA712">
      <w:numFmt w:val="decimal"/>
      <w:lvlText w:val=""/>
      <w:lvlJc w:val="left"/>
    </w:lvl>
    <w:lvl w:ilvl="5" w:tplc="D744E77C">
      <w:numFmt w:val="decimal"/>
      <w:lvlText w:val=""/>
      <w:lvlJc w:val="left"/>
    </w:lvl>
    <w:lvl w:ilvl="6" w:tplc="FB8E1DAA">
      <w:numFmt w:val="decimal"/>
      <w:lvlText w:val=""/>
      <w:lvlJc w:val="left"/>
    </w:lvl>
    <w:lvl w:ilvl="7" w:tplc="8BA6FF74">
      <w:numFmt w:val="decimal"/>
      <w:lvlText w:val=""/>
      <w:lvlJc w:val="left"/>
    </w:lvl>
    <w:lvl w:ilvl="8" w:tplc="B65A4850">
      <w:numFmt w:val="decimal"/>
      <w:lvlText w:val=""/>
      <w:lvlJc w:val="left"/>
    </w:lvl>
  </w:abstractNum>
  <w:abstractNum w:abstractNumId="8" w15:restartNumberingAfterBreak="0">
    <w:nsid w:val="5CAA2CA1"/>
    <w:multiLevelType w:val="hybridMultilevel"/>
    <w:tmpl w:val="CDD049B4"/>
    <w:lvl w:ilvl="0" w:tplc="FD0A0144">
      <w:start w:val="1"/>
      <w:numFmt w:val="bullet"/>
      <w:lvlText w:val="●"/>
      <w:lvlJc w:val="left"/>
      <w:pPr>
        <w:ind w:left="720" w:hanging="360"/>
      </w:pPr>
    </w:lvl>
    <w:lvl w:ilvl="1" w:tplc="0178BC98">
      <w:start w:val="1"/>
      <w:numFmt w:val="bullet"/>
      <w:lvlText w:val="○"/>
      <w:lvlJc w:val="left"/>
      <w:pPr>
        <w:ind w:left="1440" w:hanging="360"/>
      </w:pPr>
    </w:lvl>
    <w:lvl w:ilvl="2" w:tplc="86A2858C">
      <w:start w:val="1"/>
      <w:numFmt w:val="bullet"/>
      <w:lvlText w:val="■"/>
      <w:lvlJc w:val="left"/>
      <w:pPr>
        <w:ind w:left="2160" w:hanging="360"/>
      </w:pPr>
    </w:lvl>
    <w:lvl w:ilvl="3" w:tplc="F0267736">
      <w:start w:val="1"/>
      <w:numFmt w:val="bullet"/>
      <w:lvlText w:val="●"/>
      <w:lvlJc w:val="left"/>
      <w:pPr>
        <w:ind w:left="2880" w:hanging="360"/>
      </w:pPr>
    </w:lvl>
    <w:lvl w:ilvl="4" w:tplc="F4921C92">
      <w:start w:val="1"/>
      <w:numFmt w:val="bullet"/>
      <w:lvlText w:val="○"/>
      <w:lvlJc w:val="left"/>
      <w:pPr>
        <w:ind w:left="3600" w:hanging="360"/>
      </w:pPr>
    </w:lvl>
    <w:lvl w:ilvl="5" w:tplc="94203B06">
      <w:start w:val="1"/>
      <w:numFmt w:val="bullet"/>
      <w:lvlText w:val="■"/>
      <w:lvlJc w:val="left"/>
      <w:pPr>
        <w:ind w:left="4320" w:hanging="360"/>
      </w:pPr>
    </w:lvl>
    <w:lvl w:ilvl="6" w:tplc="C92AE668">
      <w:start w:val="1"/>
      <w:numFmt w:val="bullet"/>
      <w:lvlText w:val="●"/>
      <w:lvlJc w:val="left"/>
      <w:pPr>
        <w:ind w:left="5040" w:hanging="360"/>
      </w:pPr>
    </w:lvl>
    <w:lvl w:ilvl="7" w:tplc="ADC0320A">
      <w:start w:val="1"/>
      <w:numFmt w:val="bullet"/>
      <w:lvlText w:val="●"/>
      <w:lvlJc w:val="left"/>
      <w:pPr>
        <w:ind w:left="5760" w:hanging="360"/>
      </w:pPr>
    </w:lvl>
    <w:lvl w:ilvl="8" w:tplc="2928562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1CA152F"/>
    <w:multiLevelType w:val="hybridMultilevel"/>
    <w:tmpl w:val="D9D2DE46"/>
    <w:lvl w:ilvl="0" w:tplc="CDCCBD70">
      <w:start w:val="1"/>
      <w:numFmt w:val="bullet"/>
      <w:lvlText w:val="–"/>
      <w:lvlJc w:val="left"/>
      <w:pPr>
        <w:ind w:left="520" w:hanging="260"/>
      </w:pPr>
    </w:lvl>
    <w:lvl w:ilvl="1" w:tplc="1F2E7A9E">
      <w:numFmt w:val="decimal"/>
      <w:lvlText w:val=""/>
      <w:lvlJc w:val="left"/>
    </w:lvl>
    <w:lvl w:ilvl="2" w:tplc="A3289D98">
      <w:numFmt w:val="decimal"/>
      <w:lvlText w:val=""/>
      <w:lvlJc w:val="left"/>
    </w:lvl>
    <w:lvl w:ilvl="3" w:tplc="69902088">
      <w:numFmt w:val="decimal"/>
      <w:lvlText w:val=""/>
      <w:lvlJc w:val="left"/>
    </w:lvl>
    <w:lvl w:ilvl="4" w:tplc="75FCAA94">
      <w:numFmt w:val="decimal"/>
      <w:lvlText w:val=""/>
      <w:lvlJc w:val="left"/>
    </w:lvl>
    <w:lvl w:ilvl="5" w:tplc="7C2C3562">
      <w:numFmt w:val="decimal"/>
      <w:lvlText w:val=""/>
      <w:lvlJc w:val="left"/>
    </w:lvl>
    <w:lvl w:ilvl="6" w:tplc="55CA9B90">
      <w:numFmt w:val="decimal"/>
      <w:lvlText w:val=""/>
      <w:lvlJc w:val="left"/>
    </w:lvl>
    <w:lvl w:ilvl="7" w:tplc="8C1A5EDA">
      <w:numFmt w:val="decimal"/>
      <w:lvlText w:val=""/>
      <w:lvlJc w:val="left"/>
    </w:lvl>
    <w:lvl w:ilvl="8" w:tplc="6B3A2846">
      <w:numFmt w:val="decimal"/>
      <w:lvlText w:val=""/>
      <w:lvlJc w:val="left"/>
    </w:lvl>
  </w:abstractNum>
  <w:abstractNum w:abstractNumId="10" w15:restartNumberingAfterBreak="0">
    <w:nsid w:val="7B8318A3"/>
    <w:multiLevelType w:val="hybridMultilevel"/>
    <w:tmpl w:val="96ACC752"/>
    <w:lvl w:ilvl="0" w:tplc="112882B6">
      <w:start w:val="1"/>
      <w:numFmt w:val="decimal"/>
      <w:lvlText w:val="%1."/>
      <w:lvlJc w:val="left"/>
      <w:pPr>
        <w:ind w:left="520" w:hanging="260"/>
      </w:pPr>
    </w:lvl>
    <w:lvl w:ilvl="1" w:tplc="DDDCFBE0">
      <w:numFmt w:val="decimal"/>
      <w:lvlText w:val=""/>
      <w:lvlJc w:val="left"/>
    </w:lvl>
    <w:lvl w:ilvl="2" w:tplc="8A127392">
      <w:numFmt w:val="decimal"/>
      <w:lvlText w:val=""/>
      <w:lvlJc w:val="left"/>
    </w:lvl>
    <w:lvl w:ilvl="3" w:tplc="3DF8B84C">
      <w:numFmt w:val="decimal"/>
      <w:lvlText w:val=""/>
      <w:lvlJc w:val="left"/>
    </w:lvl>
    <w:lvl w:ilvl="4" w:tplc="C79A00D2">
      <w:numFmt w:val="decimal"/>
      <w:lvlText w:val=""/>
      <w:lvlJc w:val="left"/>
    </w:lvl>
    <w:lvl w:ilvl="5" w:tplc="F8DEF8EE">
      <w:numFmt w:val="decimal"/>
      <w:lvlText w:val=""/>
      <w:lvlJc w:val="left"/>
    </w:lvl>
    <w:lvl w:ilvl="6" w:tplc="6D9EC8B4">
      <w:numFmt w:val="decimal"/>
      <w:lvlText w:val=""/>
      <w:lvlJc w:val="left"/>
    </w:lvl>
    <w:lvl w:ilvl="7" w:tplc="28E41C98">
      <w:numFmt w:val="decimal"/>
      <w:lvlText w:val=""/>
      <w:lvlJc w:val="left"/>
    </w:lvl>
    <w:lvl w:ilvl="8" w:tplc="372A92F0">
      <w:numFmt w:val="decimal"/>
      <w:lvlText w:val=""/>
      <w:lvlJc w:val="left"/>
    </w:lvl>
  </w:abstractNum>
  <w:num w:numId="1">
    <w:abstractNumId w:val="8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88A"/>
    <w:rsid w:val="002116D4"/>
    <w:rsid w:val="003B488A"/>
    <w:rsid w:val="0088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C347"/>
  <w15:docId w15:val="{144CBFAA-63E4-4336-BEFB-49967661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2026-08-31T07:49:00Z</dcterms:created>
  <dcterms:modified xsi:type="dcterms:W3CDTF">2026-08-31T10:35:00Z</dcterms:modified>
</cp:coreProperties>
</file>