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83A4A"/>
          <w:sz w:val="40"/>
        </w:rPr>
        <w:t>UAE Corporate Tax</w:t>
        <w:br/>
        <w:t>Tax Risk and Review Report</w:t>
      </w:r>
    </w:p>
    <w:p>
      <w:pPr>
        <w:spacing w:after="80"/>
      </w:pPr>
      <w:r>
        <w:rPr>
          <w:b/>
          <w:i w:val="0"/>
          <w:sz w:val="26"/>
        </w:rPr>
        <w:t>Marjan Gulf Trading LLC (sample)</w:t>
      </w:r>
    </w:p>
    <w:p>
      <w:pPr>
        <w:spacing w:after="80"/>
      </w:pPr>
      <w:r>
        <w:rPr>
          <w:b w:val="0"/>
          <w:i w:val="0"/>
          <w:sz w:val="18"/>
        </w:rPr>
        <w:t>Tax period: 01 January 2025 to 31 December 2025   |   All amounts in AED   |   Prepared 20 October 2026</w:t>
      </w:r>
    </w:p>
    <w:p>
      <w:pPr>
        <w:spacing w:after="80"/>
      </w:pPr>
      <w:r>
        <w:rPr>
          <w:b/>
          <w:i w:val="0"/>
          <w:color w:val="C00000"/>
          <w:sz w:val="20"/>
        </w:rPr>
        <w:t>DRAFT - PRELIMINARY REVIEW</w:t>
      </w:r>
    </w:p>
    <w:p>
      <w:pPr>
        <w:spacing w:after="80"/>
      </w:pPr>
      <w:r>
        <w:rPr>
          <w:b w:val="0"/>
          <w:i/>
          <w:color w:val="C00000"/>
          <w:sz w:val="17"/>
        </w:rPr>
        <w:t>This report is the output of an automated, preliminary review of the trial balance and general ledger supplied. It does not replace a complete professional review of the company's records, contracts, elections and supporting documentation. Figures are draft, in AED, and no tax position has been taken. Items shown as potential adjustments are NOT conclusions that an expense is disallowed or that income is exempt.</w:t>
      </w:r>
    </w:p>
    <w:p>
      <w:pPr>
        <w:pStyle w:val="Heading2"/>
      </w:pPr>
      <w:r>
        <w:t>Status key</w:t>
      </w:r>
    </w:p>
    <w:tbl>
      <w:tblPr>
        <w:tblStyle w:val="TableGrid"/>
        <w:tblW w:type="auto" w:w="0"/>
        <w:jc w:val="center"/>
        <w:tblLayout w:type="fixed"/>
        <w:tblLook w:firstColumn="1" w:firstRow="1" w:lastColumn="0" w:lastRow="0" w:noHBand="0" w:noVBand="1" w:val="04A0"/>
      </w:tblPr>
      <w:tblGrid>
        <w:gridCol w:w="2551"/>
        <w:gridCol w:w="7313"/>
      </w:tblGrid>
      <w:tr>
        <w:trPr>
          <w:tblHeader w:val="true"/>
        </w:trPr>
        <w:tc>
          <w:tcPr>
            <w:tcW w:type="dxa" w:w="2551"/>
            <w:shd w:val="clear" w:color="auto" w:fill="283A4A"/>
          </w:tcPr>
          <w:p>
            <w:r/>
            <w:r>
              <w:rPr>
                <w:b/>
                <w:color w:val="FFFFFF"/>
                <w:sz w:val="16"/>
              </w:rPr>
              <w:t>Status</w:t>
            </w:r>
          </w:p>
        </w:tc>
        <w:tc>
          <w:tcPr>
            <w:tcW w:type="dxa" w:w="7313"/>
            <w:shd w:val="clear" w:color="auto" w:fill="283A4A"/>
          </w:tcPr>
          <w:p>
            <w:r/>
            <w:r>
              <w:rPr>
                <w:b/>
                <w:color w:val="FFFFFF"/>
                <w:sz w:val="16"/>
              </w:rPr>
              <w:t>Meaning</w:t>
            </w:r>
          </w:p>
        </w:tc>
      </w:tr>
      <w:tr>
        <w:tc>
          <w:tcPr>
            <w:tcW w:type="dxa" w:w="2551"/>
            <w:shd w:val="clear" w:color="auto" w:fill="E2EFDA"/>
          </w:tcPr>
          <w:p>
            <w:r/>
            <w:r>
              <w:rPr>
                <w:b/>
                <w:sz w:val="16"/>
              </w:rPr>
              <w:t>Confirmed</w:t>
            </w:r>
          </w:p>
        </w:tc>
        <w:tc>
          <w:tcPr>
            <w:tcW w:type="dxa" w:w="7313"/>
          </w:tcPr>
          <w:p>
            <w:r/>
            <w:r>
              <w:rPr>
                <w:sz w:val="16"/>
              </w:rPr>
              <w:t>Supported by sufficient evidence and an applicable rule; included in the computation.</w:t>
            </w:r>
          </w:p>
        </w:tc>
      </w:tr>
      <w:tr>
        <w:tc>
          <w:tcPr>
            <w:tcW w:type="dxa" w:w="2551"/>
            <w:shd w:val="clear" w:color="auto" w:fill="FFF2CC"/>
          </w:tcPr>
          <w:p>
            <w:r/>
            <w:r>
              <w:rPr>
                <w:b/>
                <w:sz w:val="16"/>
              </w:rPr>
              <w:t>Potential adjustment</w:t>
            </w:r>
          </w:p>
        </w:tc>
        <w:tc>
          <w:tcPr>
            <w:tcW w:type="dxa" w:w="7313"/>
          </w:tcPr>
          <w:p>
            <w:r/>
            <w:r>
              <w:rPr>
                <w:sz w:val="16"/>
              </w:rPr>
              <w:t>Requires further evidence or confirmation; NOT included in the computation.</w:t>
            </w:r>
          </w:p>
        </w:tc>
      </w:tr>
      <w:tr>
        <w:tc>
          <w:tcPr>
            <w:tcW w:type="dxa" w:w="2551"/>
            <w:shd w:val="clear" w:color="auto" w:fill="FCE4D6"/>
          </w:tcPr>
          <w:p>
            <w:r/>
            <w:r>
              <w:rPr>
                <w:b/>
                <w:sz w:val="16"/>
              </w:rPr>
              <w:t>Information required</w:t>
            </w:r>
          </w:p>
        </w:tc>
        <w:tc>
          <w:tcPr>
            <w:tcW w:type="dxa" w:w="7313"/>
          </w:tcPr>
          <w:p>
            <w:r/>
            <w:r>
              <w:rPr>
                <w:sz w:val="16"/>
              </w:rPr>
              <w:t>Cannot be concluded from the supplied records.</w:t>
            </w:r>
          </w:p>
        </w:tc>
      </w:tr>
      <w:tr>
        <w:tc>
          <w:tcPr>
            <w:tcW w:type="dxa" w:w="2551"/>
            <w:shd w:val="clear" w:color="auto" w:fill="DDEBF7"/>
          </w:tcPr>
          <w:p>
            <w:r/>
            <w:r>
              <w:rPr>
                <w:b/>
                <w:sz w:val="16"/>
              </w:rPr>
              <w:t>Technical review required</w:t>
            </w:r>
          </w:p>
        </w:tc>
        <w:tc>
          <w:tcPr>
            <w:tcW w:type="dxa" w:w="7313"/>
          </w:tcPr>
          <w:p>
            <w:r/>
            <w:r>
              <w:rPr>
                <w:sz w:val="16"/>
              </w:rPr>
              <w:t>Requires professional judgement or additional research.</w:t>
            </w:r>
          </w:p>
        </w:tc>
      </w:tr>
    </w:tbl>
    <w:p>
      <w:pPr>
        <w:spacing w:after="40"/>
      </w:pPr>
    </w:p>
    <w:p>
      <w:pPr>
        <w:pStyle w:val="Heading1"/>
      </w:pPr>
      <w:r>
        <w:t>1. Company and tax period</w:t>
      </w:r>
    </w:p>
    <w:tbl>
      <w:tblPr>
        <w:tblStyle w:val="TableGrid"/>
        <w:tblW w:type="auto" w:w="0"/>
        <w:tblLayout w:type="fixed"/>
        <w:tblLook w:firstColumn="1" w:firstRow="1" w:lastColumn="0" w:lastRow="0" w:noHBand="0" w:noVBand="1" w:val="04A0"/>
      </w:tblPr>
      <w:tblGrid>
        <w:gridCol w:w="2948"/>
        <w:gridCol w:w="6917"/>
      </w:tblGrid>
      <w:tr>
        <w:tc>
          <w:tcPr>
            <w:tcW w:type="dxa" w:w="2948"/>
            <w:shd w:val="clear" w:color="auto" w:fill="EDEDED"/>
          </w:tcPr>
          <w:p>
            <w:r/>
            <w:r>
              <w:rPr>
                <w:b/>
                <w:sz w:val="17"/>
              </w:rPr>
              <w:t>Taxable person</w:t>
            </w:r>
          </w:p>
        </w:tc>
        <w:tc>
          <w:tcPr>
            <w:tcW w:type="dxa" w:w="6917"/>
          </w:tcPr>
          <w:p>
            <w:r/>
            <w:r>
              <w:rPr>
                <w:sz w:val="17"/>
              </w:rPr>
              <w:t>Marjan Gulf Trading LLC (sample)</w:t>
            </w:r>
          </w:p>
        </w:tc>
      </w:tr>
      <w:tr>
        <w:tc>
          <w:tcPr>
            <w:tcW w:type="dxa" w:w="2948"/>
            <w:shd w:val="clear" w:color="auto" w:fill="EDEDED"/>
          </w:tcPr>
          <w:p>
            <w:r/>
            <w:r>
              <w:rPr>
                <w:b/>
                <w:sz w:val="17"/>
              </w:rPr>
              <w:t>Registration status</w:t>
            </w:r>
          </w:p>
        </w:tc>
        <w:tc>
          <w:tcPr>
            <w:tcW w:type="dxa" w:w="6917"/>
          </w:tcPr>
          <w:p>
            <w:r/>
            <w:r>
              <w:rPr>
                <w:sz w:val="17"/>
              </w:rPr>
              <w:t>Mainland</w:t>
            </w:r>
          </w:p>
        </w:tc>
      </w:tr>
      <w:tr>
        <w:tc>
          <w:tcPr>
            <w:tcW w:type="dxa" w:w="2948"/>
            <w:shd w:val="clear" w:color="auto" w:fill="EDEDED"/>
          </w:tcPr>
          <w:p>
            <w:r/>
            <w:r>
              <w:rPr>
                <w:b/>
                <w:sz w:val="17"/>
              </w:rPr>
              <w:t>Tax period</w:t>
            </w:r>
          </w:p>
        </w:tc>
        <w:tc>
          <w:tcPr>
            <w:tcW w:type="dxa" w:w="6917"/>
          </w:tcPr>
          <w:p>
            <w:r/>
            <w:r>
              <w:rPr>
                <w:sz w:val="17"/>
              </w:rPr>
              <w:t>01 January 2025 to 31 December 2025</w:t>
            </w:r>
          </w:p>
        </w:tc>
      </w:tr>
      <w:tr>
        <w:tc>
          <w:tcPr>
            <w:tcW w:type="dxa" w:w="2948"/>
            <w:shd w:val="clear" w:color="auto" w:fill="EDEDED"/>
          </w:tcPr>
          <w:p>
            <w:r/>
            <w:r>
              <w:rPr>
                <w:b/>
                <w:sz w:val="17"/>
              </w:rPr>
              <w:t>First Corporate Tax period?</w:t>
            </w:r>
          </w:p>
        </w:tc>
        <w:tc>
          <w:tcPr>
            <w:tcW w:type="dxa" w:w="6917"/>
          </w:tcPr>
          <w:p>
            <w:r/>
            <w:r>
              <w:rPr>
                <w:sz w:val="17"/>
              </w:rPr>
              <w:t>First tax period</w:t>
            </w:r>
          </w:p>
        </w:tc>
      </w:tr>
      <w:tr>
        <w:tc>
          <w:tcPr>
            <w:tcW w:type="dxa" w:w="2948"/>
            <w:shd w:val="clear" w:color="auto" w:fill="EDEDED"/>
          </w:tcPr>
          <w:p>
            <w:r/>
            <w:r>
              <w:rPr>
                <w:b/>
                <w:sz w:val="17"/>
              </w:rPr>
              <w:t>Accounting framework / basis</w:t>
            </w:r>
          </w:p>
        </w:tc>
        <w:tc>
          <w:tcPr>
            <w:tcW w:type="dxa" w:w="6917"/>
          </w:tcPr>
          <w:p>
            <w:r/>
            <w:r>
              <w:rPr>
                <w:sz w:val="17"/>
              </w:rPr>
              <w:t>IFRS / Accrual</w:t>
            </w:r>
          </w:p>
        </w:tc>
      </w:tr>
      <w:tr>
        <w:tc>
          <w:tcPr>
            <w:tcW w:type="dxa" w:w="2948"/>
            <w:shd w:val="clear" w:color="auto" w:fill="EDEDED"/>
          </w:tcPr>
          <w:p>
            <w:r/>
            <w:r>
              <w:rPr>
                <w:b/>
                <w:sz w:val="17"/>
              </w:rPr>
              <w:t>Status of the financial statements</w:t>
            </w:r>
          </w:p>
        </w:tc>
        <w:tc>
          <w:tcPr>
            <w:tcW w:type="dxa" w:w="6917"/>
          </w:tcPr>
          <w:p>
            <w:r/>
            <w:r>
              <w:rPr>
                <w:sz w:val="17"/>
              </w:rPr>
              <w:t>Draft / unaudited</w:t>
            </w:r>
          </w:p>
        </w:tc>
      </w:tr>
      <w:tr>
        <w:tc>
          <w:tcPr>
            <w:tcW w:type="dxa" w:w="2948"/>
            <w:shd w:val="clear" w:color="auto" w:fill="EDEDED"/>
          </w:tcPr>
          <w:p>
            <w:r/>
            <w:r>
              <w:rPr>
                <w:b/>
                <w:sz w:val="17"/>
              </w:rPr>
              <w:t>Reporting currency of the books</w:t>
            </w:r>
          </w:p>
        </w:tc>
        <w:tc>
          <w:tcPr>
            <w:tcW w:type="dxa" w:w="6917"/>
          </w:tcPr>
          <w:p>
            <w:r/>
            <w:r>
              <w:rPr>
                <w:sz w:val="17"/>
              </w:rPr>
              <w:t>AED</w:t>
            </w:r>
          </w:p>
        </w:tc>
      </w:tr>
      <w:tr>
        <w:tc>
          <w:tcPr>
            <w:tcW w:type="dxa" w:w="2948"/>
            <w:shd w:val="clear" w:color="auto" w:fill="EDEDED"/>
          </w:tcPr>
          <w:p>
            <w:r/>
            <w:r>
              <w:rPr>
                <w:b/>
                <w:sz w:val="17"/>
              </w:rPr>
              <w:t>Currency of this report and computation</w:t>
            </w:r>
          </w:p>
        </w:tc>
        <w:tc>
          <w:tcPr>
            <w:tcW w:type="dxa" w:w="6917"/>
          </w:tcPr>
          <w:p>
            <w:r/>
            <w:r>
              <w:rPr>
                <w:sz w:val="17"/>
              </w:rPr>
              <w:t>UAE dirham (AED)</w:t>
            </w:r>
          </w:p>
        </w:tc>
      </w:tr>
    </w:tbl>
    <w:p>
      <w:pPr>
        <w:spacing w:after="40"/>
      </w:pPr>
    </w:p>
    <w:p>
      <w:pPr>
        <w:pStyle w:val="Heading1"/>
      </w:pPr>
      <w:r>
        <w:t>2. Scope of data reviewed</w:t>
      </w:r>
    </w:p>
    <w:p>
      <w:pPr>
        <w:pStyle w:val="ListBullet"/>
        <w:spacing w:after="40"/>
      </w:pPr>
      <w:r>
        <w:t>Trial balance: 46 account(s).</w:t>
      </w:r>
    </w:p>
    <w:p>
      <w:pPr>
        <w:pStyle w:val="ListBullet"/>
        <w:spacing w:after="40"/>
      </w:pPr>
      <w:r>
        <w:t>No general ledger was supplied - transaction-level tests were NOT performed.</w:t>
      </w:r>
    </w:p>
    <w:p>
      <w:pPr>
        <w:pStyle w:val="ListBullet"/>
        <w:spacing w:after="40"/>
      </w:pPr>
      <w:r>
        <w:t>Supporting documents (invoices, contracts, agreements, share registers, tax certificates) were not reviewed by the tool: none were listed in the project.</w:t>
      </w:r>
    </w:p>
    <w:p>
      <w:pPr>
        <w:pStyle w:val="Heading3"/>
      </w:pPr>
      <w:r>
        <w:t>Conversion to AED</w:t>
      </w:r>
    </w:p>
    <w:p>
      <w:pPr>
        <w:spacing w:after="80"/>
      </w:pPr>
      <w:r>
        <w:rPr>
          <w:b w:val="0"/>
          <w:i w:val="0"/>
        </w:rPr>
        <w:t>The trial balance is in AED; no conversion was required.</w:t>
      </w:r>
    </w:p>
    <w:p>
      <w:pPr>
        <w:pStyle w:val="Heading1"/>
      </w:pPr>
      <w:r>
        <w:t>3. Files and worksheets analysed</w:t>
      </w:r>
    </w:p>
    <w:tbl>
      <w:tblPr>
        <w:tblStyle w:val="TableGrid"/>
        <w:tblW w:type="auto" w:w="0"/>
        <w:jc w:val="center"/>
        <w:tblLayout w:type="fixed"/>
        <w:tblLook w:firstColumn="1" w:firstRow="1" w:lastColumn="0" w:lastRow="0" w:noHBand="0" w:noVBand="1" w:val="04A0"/>
      </w:tblPr>
      <w:tblGrid>
        <w:gridCol w:w="1474"/>
        <w:gridCol w:w="2381"/>
        <w:gridCol w:w="1361"/>
        <w:gridCol w:w="1134"/>
        <w:gridCol w:w="1247"/>
        <w:gridCol w:w="2268"/>
      </w:tblGrid>
      <w:tr>
        <w:trPr>
          <w:tblHeader w:val="true"/>
        </w:trPr>
        <w:tc>
          <w:tcPr>
            <w:tcW w:type="dxa" w:w="1474"/>
            <w:shd w:val="clear" w:color="auto" w:fill="283A4A"/>
          </w:tcPr>
          <w:p>
            <w:r/>
            <w:r>
              <w:rPr>
                <w:b/>
                <w:color w:val="FFFFFF"/>
                <w:sz w:val="16"/>
              </w:rPr>
              <w:t>Item</w:t>
            </w:r>
          </w:p>
        </w:tc>
        <w:tc>
          <w:tcPr>
            <w:tcW w:type="dxa" w:w="2381"/>
            <w:shd w:val="clear" w:color="auto" w:fill="283A4A"/>
          </w:tcPr>
          <w:p>
            <w:r/>
            <w:r>
              <w:rPr>
                <w:b/>
                <w:color w:val="FFFFFF"/>
                <w:sz w:val="16"/>
              </w:rPr>
              <w:t>File</w:t>
            </w:r>
          </w:p>
        </w:tc>
        <w:tc>
          <w:tcPr>
            <w:tcW w:type="dxa" w:w="1361"/>
            <w:shd w:val="clear" w:color="auto" w:fill="283A4A"/>
          </w:tcPr>
          <w:p>
            <w:r/>
            <w:r>
              <w:rPr>
                <w:b/>
                <w:color w:val="FFFFFF"/>
                <w:sz w:val="16"/>
              </w:rPr>
              <w:t>Worksheet</w:t>
            </w:r>
          </w:p>
        </w:tc>
        <w:tc>
          <w:tcPr>
            <w:tcW w:type="dxa" w:w="1134"/>
            <w:shd w:val="clear" w:color="auto" w:fill="283A4A"/>
          </w:tcPr>
          <w:p>
            <w:r/>
            <w:r>
              <w:rPr>
                <w:b/>
                <w:color w:val="FFFFFF"/>
                <w:sz w:val="16"/>
              </w:rPr>
              <w:t>Extraction</w:t>
            </w:r>
          </w:p>
        </w:tc>
        <w:tc>
          <w:tcPr>
            <w:tcW w:type="dxa" w:w="1247"/>
            <w:shd w:val="clear" w:color="auto" w:fill="283A4A"/>
          </w:tcPr>
          <w:p>
            <w:r/>
            <w:r>
              <w:rPr>
                <w:b/>
                <w:color w:val="FFFFFF"/>
                <w:sz w:val="16"/>
              </w:rPr>
              <w:t>Records</w:t>
            </w:r>
          </w:p>
        </w:tc>
        <w:tc>
          <w:tcPr>
            <w:tcW w:type="dxa" w:w="2268"/>
            <w:shd w:val="clear" w:color="auto" w:fill="283A4A"/>
          </w:tcPr>
          <w:p>
            <w:r/>
            <w:r>
              <w:rPr>
                <w:b/>
                <w:color w:val="FFFFFF"/>
                <w:sz w:val="16"/>
              </w:rPr>
              <w:t>Extraction warnings</w:t>
            </w:r>
          </w:p>
        </w:tc>
      </w:tr>
      <w:tr>
        <w:tc>
          <w:tcPr>
            <w:tcW w:type="dxa" w:w="1474"/>
          </w:tcPr>
          <w:p>
            <w:r/>
            <w:r>
              <w:rPr>
                <w:sz w:val="16"/>
              </w:rPr>
              <w:t>Trial balance</w:t>
            </w:r>
          </w:p>
        </w:tc>
        <w:tc>
          <w:tcPr>
            <w:tcW w:type="dxa" w:w="2381"/>
          </w:tcPr>
          <w:p>
            <w:r/>
            <w:r>
              <w:rPr>
                <w:sz w:val="16"/>
              </w:rPr>
              <w:t>Marjan_Gulf_Trading_TB_31Dec2025.xlsx</w:t>
            </w:r>
          </w:p>
        </w:tc>
        <w:tc>
          <w:tcPr>
            <w:tcW w:type="dxa" w:w="1361"/>
          </w:tcPr>
          <w:p>
            <w:r/>
            <w:r>
              <w:rPr>
                <w:sz w:val="16"/>
              </w:rPr>
              <w:t>Trial Balance</w:t>
            </w:r>
          </w:p>
        </w:tc>
        <w:tc>
          <w:tcPr>
            <w:tcW w:type="dxa" w:w="1134"/>
          </w:tcPr>
          <w:p>
            <w:r/>
            <w:r>
              <w:rPr>
                <w:sz w:val="16"/>
              </w:rPr>
              <w:t>table</w:t>
            </w:r>
          </w:p>
        </w:tc>
        <w:tc>
          <w:tcPr>
            <w:tcW w:type="dxa" w:w="1247"/>
          </w:tcPr>
          <w:p>
            <w:r/>
            <w:r>
              <w:rPr>
                <w:sz w:val="16"/>
              </w:rPr>
              <w:t>46 accounts</w:t>
            </w:r>
          </w:p>
        </w:tc>
        <w:tc>
          <w:tcPr>
            <w:tcW w:type="dxa" w:w="2268"/>
          </w:tcPr>
          <w:p>
            <w:r/>
            <w:r>
              <w:rPr>
                <w:sz w:val="16"/>
              </w:rPr>
              <w:t>-</w:t>
            </w:r>
          </w:p>
        </w:tc>
      </w:tr>
    </w:tbl>
    <w:p>
      <w:pPr>
        <w:spacing w:after="40"/>
      </w:pPr>
    </w:p>
    <w:p>
      <w:pPr>
        <w:spacing w:after="80"/>
      </w:pPr>
      <w:r>
        <w:rPr>
          <w:b w:val="0"/>
          <w:i/>
          <w:color w:val="595959"/>
          <w:sz w:val="17"/>
        </w:rPr>
        <w:t>Source files are read only and are never modified by the tool.</w:t>
      </w:r>
    </w:p>
    <w:p>
      <w:pPr>
        <w:pStyle w:val="Heading1"/>
      </w:pPr>
      <w:r>
        <w:t>4. Accounting profit or loss</w:t>
      </w:r>
    </w:p>
    <w:tbl>
      <w:tblPr>
        <w:tblStyle w:val="TableGrid"/>
        <w:tblW w:type="auto" w:w="0"/>
        <w:jc w:val="center"/>
        <w:tblLayout w:type="fixed"/>
        <w:tblLook w:firstColumn="1" w:firstRow="1" w:lastColumn="0" w:lastRow="0" w:noHBand="0" w:noVBand="1" w:val="04A0"/>
      </w:tblPr>
      <w:tblGrid>
        <w:gridCol w:w="7087"/>
        <w:gridCol w:w="2778"/>
      </w:tblGrid>
      <w:tr>
        <w:trPr>
          <w:tblHeader w:val="true"/>
        </w:trPr>
        <w:tc>
          <w:tcPr>
            <w:tcW w:type="dxa" w:w="7087"/>
            <w:shd w:val="clear" w:color="auto" w:fill="283A4A"/>
          </w:tcPr>
          <w:p>
            <w:r/>
            <w:r>
              <w:rPr>
                <w:b/>
                <w:color w:val="FFFFFF"/>
                <w:sz w:val="16"/>
              </w:rPr>
              <w:t>Line</w:t>
            </w:r>
          </w:p>
        </w:tc>
        <w:tc>
          <w:tcPr>
            <w:tcW w:type="dxa" w:w="2778"/>
            <w:shd w:val="clear" w:color="auto" w:fill="283A4A"/>
          </w:tcPr>
          <w:p>
            <w:r/>
            <w:r>
              <w:rPr>
                <w:b/>
                <w:color w:val="FFFFFF"/>
                <w:sz w:val="16"/>
              </w:rPr>
              <w:t>AED</w:t>
            </w:r>
          </w:p>
        </w:tc>
      </w:tr>
      <w:tr>
        <w:tc>
          <w:tcPr>
            <w:tcW w:type="dxa" w:w="7087"/>
          </w:tcPr>
          <w:p>
            <w:r/>
            <w:r>
              <w:rPr>
                <w:sz w:val="16"/>
              </w:rPr>
              <w:t>Revenue</w:t>
            </w:r>
          </w:p>
        </w:tc>
        <w:tc>
          <w:tcPr>
            <w:tcW w:type="dxa" w:w="2778"/>
          </w:tcPr>
          <w:p>
            <w:pPr>
              <w:jc w:val="right"/>
            </w:pPr>
            <w:r/>
            <w:r>
              <w:rPr>
                <w:sz w:val="16"/>
              </w:rPr>
              <w:t>19,500,000</w:t>
            </w:r>
          </w:p>
        </w:tc>
      </w:tr>
      <w:tr>
        <w:tc>
          <w:tcPr>
            <w:tcW w:type="dxa" w:w="7087"/>
          </w:tcPr>
          <w:p>
            <w:r/>
            <w:r>
              <w:rPr>
                <w:sz w:val="16"/>
              </w:rPr>
              <w:t>Cost of sales</w:t>
            </w:r>
          </w:p>
        </w:tc>
        <w:tc>
          <w:tcPr>
            <w:tcW w:type="dxa" w:w="2778"/>
          </w:tcPr>
          <w:p>
            <w:pPr>
              <w:jc w:val="right"/>
            </w:pPr>
            <w:r/>
            <w:r>
              <w:rPr>
                <w:sz w:val="16"/>
              </w:rPr>
              <w:t>(11,800,000)</w:t>
            </w:r>
          </w:p>
        </w:tc>
      </w:tr>
      <w:tr>
        <w:tc>
          <w:tcPr>
            <w:tcW w:type="dxa" w:w="7087"/>
          </w:tcPr>
          <w:p>
            <w:r/>
            <w:r>
              <w:rPr>
                <w:sz w:val="16"/>
              </w:rPr>
              <w:t xml:space="preserve">  Gross profit (subtotal)</w:t>
            </w:r>
          </w:p>
        </w:tc>
        <w:tc>
          <w:tcPr>
            <w:tcW w:type="dxa" w:w="2778"/>
          </w:tcPr>
          <w:p>
            <w:pPr>
              <w:jc w:val="right"/>
            </w:pPr>
            <w:r/>
            <w:r>
              <w:rPr>
                <w:sz w:val="16"/>
              </w:rPr>
              <w:t>7,700,000</w:t>
            </w:r>
          </w:p>
        </w:tc>
      </w:tr>
      <w:tr>
        <w:tc>
          <w:tcPr>
            <w:tcW w:type="dxa" w:w="7087"/>
          </w:tcPr>
          <w:p>
            <w:r/>
            <w:r>
              <w:rPr>
                <w:sz w:val="16"/>
              </w:rPr>
              <w:t>Dividend income</w:t>
            </w:r>
          </w:p>
        </w:tc>
        <w:tc>
          <w:tcPr>
            <w:tcW w:type="dxa" w:w="2778"/>
          </w:tcPr>
          <w:p>
            <w:pPr>
              <w:jc w:val="right"/>
            </w:pPr>
            <w:r/>
            <w:r>
              <w:rPr>
                <w:sz w:val="16"/>
              </w:rPr>
              <w:t>400,000</w:t>
            </w:r>
          </w:p>
        </w:tc>
      </w:tr>
      <w:tr>
        <w:tc>
          <w:tcPr>
            <w:tcW w:type="dxa" w:w="7087"/>
          </w:tcPr>
          <w:p>
            <w:r/>
            <w:r>
              <w:rPr>
                <w:sz w:val="16"/>
              </w:rPr>
              <w:t>Interest income</w:t>
            </w:r>
          </w:p>
        </w:tc>
        <w:tc>
          <w:tcPr>
            <w:tcW w:type="dxa" w:w="2778"/>
          </w:tcPr>
          <w:p>
            <w:pPr>
              <w:jc w:val="right"/>
            </w:pPr>
            <w:r/>
            <w:r>
              <w:rPr>
                <w:sz w:val="16"/>
              </w:rPr>
              <w:t>35,000</w:t>
            </w:r>
          </w:p>
        </w:tc>
      </w:tr>
      <w:tr>
        <w:tc>
          <w:tcPr>
            <w:tcW w:type="dxa" w:w="7087"/>
          </w:tcPr>
          <w:p>
            <w:r/>
            <w:r>
              <w:rPr>
                <w:sz w:val="16"/>
              </w:rPr>
              <w:t>Fair value gain/(loss) on investments</w:t>
            </w:r>
          </w:p>
        </w:tc>
        <w:tc>
          <w:tcPr>
            <w:tcW w:type="dxa" w:w="2778"/>
          </w:tcPr>
          <w:p>
            <w:pPr>
              <w:jc w:val="right"/>
            </w:pPr>
            <w:r/>
            <w:r>
              <w:rPr>
                <w:sz w:val="16"/>
              </w:rPr>
              <w:t>120,000</w:t>
            </w:r>
          </w:p>
        </w:tc>
      </w:tr>
      <w:tr>
        <w:tc>
          <w:tcPr>
            <w:tcW w:type="dxa" w:w="7087"/>
          </w:tcPr>
          <w:p>
            <w:r/>
            <w:r>
              <w:rPr>
                <w:sz w:val="16"/>
              </w:rPr>
              <w:t xml:space="preserve">  Total other income (subtotal)</w:t>
            </w:r>
          </w:p>
        </w:tc>
        <w:tc>
          <w:tcPr>
            <w:tcW w:type="dxa" w:w="2778"/>
          </w:tcPr>
          <w:p>
            <w:pPr>
              <w:jc w:val="right"/>
            </w:pPr>
            <w:r/>
            <w:r>
              <w:rPr>
                <w:sz w:val="16"/>
              </w:rPr>
              <w:t>555,000</w:t>
            </w:r>
          </w:p>
        </w:tc>
      </w:tr>
      <w:tr>
        <w:tc>
          <w:tcPr>
            <w:tcW w:type="dxa" w:w="7087"/>
          </w:tcPr>
          <w:p>
            <w:r/>
            <w:r>
              <w:rPr>
                <w:sz w:val="16"/>
              </w:rPr>
              <w:t>Staff costs</w:t>
            </w:r>
          </w:p>
        </w:tc>
        <w:tc>
          <w:tcPr>
            <w:tcW w:type="dxa" w:w="2778"/>
          </w:tcPr>
          <w:p>
            <w:pPr>
              <w:jc w:val="right"/>
            </w:pPr>
            <w:r/>
            <w:r>
              <w:rPr>
                <w:sz w:val="16"/>
              </w:rPr>
              <w:t>(2,985,000)</w:t>
            </w:r>
          </w:p>
        </w:tc>
      </w:tr>
      <w:tr>
        <w:tc>
          <w:tcPr>
            <w:tcW w:type="dxa" w:w="7087"/>
          </w:tcPr>
          <w:p>
            <w:r/>
            <w:r>
              <w:rPr>
                <w:sz w:val="16"/>
              </w:rPr>
              <w:t>Audit, legal and professional fees</w:t>
            </w:r>
          </w:p>
        </w:tc>
        <w:tc>
          <w:tcPr>
            <w:tcW w:type="dxa" w:w="2778"/>
          </w:tcPr>
          <w:p>
            <w:pPr>
              <w:jc w:val="right"/>
            </w:pPr>
            <w:r/>
            <w:r>
              <w:rPr>
                <w:sz w:val="16"/>
              </w:rPr>
              <w:t>(160,000)</w:t>
            </w:r>
          </w:p>
        </w:tc>
      </w:tr>
      <w:tr>
        <w:tc>
          <w:tcPr>
            <w:tcW w:type="dxa" w:w="7087"/>
          </w:tcPr>
          <w:p>
            <w:r/>
            <w:r>
              <w:rPr>
                <w:sz w:val="16"/>
              </w:rPr>
              <w:t>Bank fees and charges</w:t>
            </w:r>
          </w:p>
        </w:tc>
        <w:tc>
          <w:tcPr>
            <w:tcW w:type="dxa" w:w="2778"/>
          </w:tcPr>
          <w:p>
            <w:pPr>
              <w:jc w:val="right"/>
            </w:pPr>
            <w:r/>
            <w:r>
              <w:rPr>
                <w:sz w:val="16"/>
              </w:rPr>
              <w:t>(24,000)</w:t>
            </w:r>
          </w:p>
        </w:tc>
      </w:tr>
      <w:tr>
        <w:tc>
          <w:tcPr>
            <w:tcW w:type="dxa" w:w="7087"/>
          </w:tcPr>
          <w:p>
            <w:r/>
            <w:r>
              <w:rPr>
                <w:sz w:val="16"/>
              </w:rPr>
              <w:t>Rent and premises</w:t>
            </w:r>
          </w:p>
        </w:tc>
        <w:tc>
          <w:tcPr>
            <w:tcW w:type="dxa" w:w="2778"/>
          </w:tcPr>
          <w:p>
            <w:pPr>
              <w:jc w:val="right"/>
            </w:pPr>
            <w:r/>
            <w:r>
              <w:rPr>
                <w:sz w:val="16"/>
              </w:rPr>
              <w:t>(576,000)</w:t>
            </w:r>
          </w:p>
        </w:tc>
      </w:tr>
      <w:tr>
        <w:tc>
          <w:tcPr>
            <w:tcW w:type="dxa" w:w="7087"/>
          </w:tcPr>
          <w:p>
            <w:r/>
            <w:r>
              <w:rPr>
                <w:sz w:val="16"/>
              </w:rPr>
              <w:t>Marketing, promotion and commissions</w:t>
            </w:r>
          </w:p>
        </w:tc>
        <w:tc>
          <w:tcPr>
            <w:tcW w:type="dxa" w:w="2778"/>
          </w:tcPr>
          <w:p>
            <w:pPr>
              <w:jc w:val="right"/>
            </w:pPr>
            <w:r/>
            <w:r>
              <w:rPr>
                <w:sz w:val="16"/>
              </w:rPr>
              <w:t>(220,000)</w:t>
            </w:r>
          </w:p>
        </w:tc>
      </w:tr>
      <w:tr>
        <w:tc>
          <w:tcPr>
            <w:tcW w:type="dxa" w:w="7087"/>
          </w:tcPr>
          <w:p>
            <w:r/>
            <w:r>
              <w:rPr>
                <w:sz w:val="16"/>
              </w:rPr>
              <w:t>Entertainment, events and gifts</w:t>
            </w:r>
          </w:p>
        </w:tc>
        <w:tc>
          <w:tcPr>
            <w:tcW w:type="dxa" w:w="2778"/>
          </w:tcPr>
          <w:p>
            <w:pPr>
              <w:jc w:val="right"/>
            </w:pPr>
            <w:r/>
            <w:r>
              <w:rPr>
                <w:sz w:val="16"/>
              </w:rPr>
              <w:t>(140,000)</w:t>
            </w:r>
          </w:p>
        </w:tc>
      </w:tr>
      <w:tr>
        <w:tc>
          <w:tcPr>
            <w:tcW w:type="dxa" w:w="7087"/>
          </w:tcPr>
          <w:p>
            <w:r/>
            <w:r>
              <w:rPr>
                <w:sz w:val="16"/>
              </w:rPr>
              <w:t>Donations</w:t>
            </w:r>
          </w:p>
        </w:tc>
        <w:tc>
          <w:tcPr>
            <w:tcW w:type="dxa" w:w="2778"/>
          </w:tcPr>
          <w:p>
            <w:pPr>
              <w:jc w:val="right"/>
            </w:pPr>
            <w:r/>
            <w:r>
              <w:rPr>
                <w:sz w:val="16"/>
              </w:rPr>
              <w:t>(75,000)</w:t>
            </w:r>
          </w:p>
        </w:tc>
      </w:tr>
      <w:tr>
        <w:tc>
          <w:tcPr>
            <w:tcW w:type="dxa" w:w="7087"/>
          </w:tcPr>
          <w:p>
            <w:r/>
            <w:r>
              <w:rPr>
                <w:sz w:val="16"/>
              </w:rPr>
              <w:t>Fines and penalties</w:t>
            </w:r>
          </w:p>
        </w:tc>
        <w:tc>
          <w:tcPr>
            <w:tcW w:type="dxa" w:w="2778"/>
          </w:tcPr>
          <w:p>
            <w:pPr>
              <w:jc w:val="right"/>
            </w:pPr>
            <w:r/>
            <w:r>
              <w:rPr>
                <w:sz w:val="16"/>
              </w:rPr>
              <w:t>(28,000)</w:t>
            </w:r>
          </w:p>
        </w:tc>
      </w:tr>
      <w:tr>
        <w:tc>
          <w:tcPr>
            <w:tcW w:type="dxa" w:w="7087"/>
          </w:tcPr>
          <w:p>
            <w:r/>
            <w:r>
              <w:rPr>
                <w:sz w:val="16"/>
              </w:rPr>
              <w:t>Provisions, impairments and bad debts</w:t>
            </w:r>
          </w:p>
        </w:tc>
        <w:tc>
          <w:tcPr>
            <w:tcW w:type="dxa" w:w="2778"/>
          </w:tcPr>
          <w:p>
            <w:pPr>
              <w:jc w:val="right"/>
            </w:pPr>
            <w:r/>
            <w:r>
              <w:rPr>
                <w:sz w:val="16"/>
              </w:rPr>
              <w:t>(95,000)</w:t>
            </w:r>
          </w:p>
        </w:tc>
      </w:tr>
      <w:tr>
        <w:tc>
          <w:tcPr>
            <w:tcW w:type="dxa" w:w="7087"/>
          </w:tcPr>
          <w:p>
            <w:r/>
            <w:r>
              <w:rPr>
                <w:sz w:val="16"/>
              </w:rPr>
              <w:t>General and administrative expenses (other)</w:t>
            </w:r>
          </w:p>
        </w:tc>
        <w:tc>
          <w:tcPr>
            <w:tcW w:type="dxa" w:w="2778"/>
          </w:tcPr>
          <w:p>
            <w:pPr>
              <w:jc w:val="right"/>
            </w:pPr>
            <w:r/>
            <w:r>
              <w:rPr>
                <w:sz w:val="16"/>
              </w:rPr>
              <w:t>(606,000)</w:t>
            </w:r>
          </w:p>
        </w:tc>
      </w:tr>
      <w:tr>
        <w:tc>
          <w:tcPr>
            <w:tcW w:type="dxa" w:w="7087"/>
          </w:tcPr>
          <w:p>
            <w:r/>
            <w:r>
              <w:rPr>
                <w:sz w:val="16"/>
              </w:rPr>
              <w:t xml:space="preserve">  Total operating expenses (subtotal)</w:t>
            </w:r>
          </w:p>
        </w:tc>
        <w:tc>
          <w:tcPr>
            <w:tcW w:type="dxa" w:w="2778"/>
          </w:tcPr>
          <w:p>
            <w:pPr>
              <w:jc w:val="right"/>
            </w:pPr>
            <w:r/>
            <w:r>
              <w:rPr>
                <w:sz w:val="16"/>
              </w:rPr>
              <w:t>(4,909,000)</w:t>
            </w:r>
          </w:p>
        </w:tc>
      </w:tr>
      <w:tr>
        <w:tc>
          <w:tcPr>
            <w:tcW w:type="dxa" w:w="7087"/>
          </w:tcPr>
          <w:p>
            <w:r/>
            <w:r>
              <w:rPr>
                <w:sz w:val="16"/>
              </w:rPr>
              <w:t>Depreciation and amortisation</w:t>
            </w:r>
          </w:p>
        </w:tc>
        <w:tc>
          <w:tcPr>
            <w:tcW w:type="dxa" w:w="2778"/>
          </w:tcPr>
          <w:p>
            <w:pPr>
              <w:jc w:val="right"/>
            </w:pPr>
            <w:r/>
            <w:r>
              <w:rPr>
                <w:sz w:val="16"/>
              </w:rPr>
              <w:t>(210,000)</w:t>
            </w:r>
          </w:p>
        </w:tc>
      </w:tr>
      <w:tr>
        <w:tc>
          <w:tcPr>
            <w:tcW w:type="dxa" w:w="7087"/>
          </w:tcPr>
          <w:p>
            <w:r/>
            <w:r>
              <w:rPr>
                <w:sz w:val="16"/>
              </w:rPr>
              <w:t>Finance costs</w:t>
            </w:r>
          </w:p>
        </w:tc>
        <w:tc>
          <w:tcPr>
            <w:tcW w:type="dxa" w:w="2778"/>
          </w:tcPr>
          <w:p>
            <w:pPr>
              <w:jc w:val="right"/>
            </w:pPr>
            <w:r/>
            <w:r>
              <w:rPr>
                <w:sz w:val="16"/>
              </w:rPr>
              <w:t>(150,000)</w:t>
            </w:r>
          </w:p>
        </w:tc>
      </w:tr>
      <w:tr>
        <w:tc>
          <w:tcPr>
            <w:tcW w:type="dxa" w:w="7087"/>
          </w:tcPr>
          <w:p>
            <w:r/>
            <w:r>
              <w:rPr>
                <w:sz w:val="16"/>
              </w:rPr>
              <w:t>Foreign exchange (gain)/loss</w:t>
            </w:r>
          </w:p>
        </w:tc>
        <w:tc>
          <w:tcPr>
            <w:tcW w:type="dxa" w:w="2778"/>
          </w:tcPr>
          <w:p>
            <w:pPr>
              <w:jc w:val="right"/>
            </w:pPr>
            <w:r/>
            <w:r>
              <w:rPr>
                <w:sz w:val="16"/>
              </w:rPr>
              <w:t>4,000</w:t>
            </w:r>
          </w:p>
        </w:tc>
      </w:tr>
      <w:tr>
        <w:tc>
          <w:tcPr>
            <w:tcW w:type="dxa" w:w="7087"/>
          </w:tcPr>
          <w:p>
            <w:r/>
            <w:r>
              <w:rPr>
                <w:sz w:val="16"/>
              </w:rPr>
              <w:t xml:space="preserve">  Profit/(loss) before tax</w:t>
            </w:r>
          </w:p>
        </w:tc>
        <w:tc>
          <w:tcPr>
            <w:tcW w:type="dxa" w:w="2778"/>
          </w:tcPr>
          <w:p>
            <w:pPr>
              <w:jc w:val="right"/>
            </w:pPr>
            <w:r/>
            <w:r>
              <w:rPr>
                <w:sz w:val="16"/>
              </w:rPr>
              <w:t>2,990,000</w:t>
            </w:r>
          </w:p>
        </w:tc>
      </w:tr>
      <w:tr>
        <w:tc>
          <w:tcPr>
            <w:tcW w:type="dxa" w:w="7087"/>
          </w:tcPr>
          <w:p>
            <w:r/>
            <w:r>
              <w:rPr>
                <w:sz w:val="16"/>
              </w:rPr>
              <w:t xml:space="preserve">  Profit/(loss) for the year</w:t>
            </w:r>
          </w:p>
        </w:tc>
        <w:tc>
          <w:tcPr>
            <w:tcW w:type="dxa" w:w="2778"/>
          </w:tcPr>
          <w:p>
            <w:pPr>
              <w:jc w:val="right"/>
            </w:pPr>
            <w:r/>
            <w:r>
              <w:rPr>
                <w:sz w:val="16"/>
              </w:rPr>
              <w:t>2,990,000</w:t>
            </w:r>
          </w:p>
        </w:tc>
      </w:tr>
    </w:tbl>
    <w:p>
      <w:pPr>
        <w:spacing w:after="40"/>
      </w:pPr>
    </w:p>
    <w:p>
      <w:pPr>
        <w:spacing w:after="80"/>
      </w:pPr>
      <w:r>
        <w:rPr>
          <w:b w:val="0"/>
          <w:i w:val="0"/>
        </w:rPr>
        <w:t>Profit/(loss) for the year per the AED statement of profit or loss prepared from the trial balance: AED 2,990,000.</w:t>
      </w:r>
    </w:p>
    <w:p>
      <w:pPr>
        <w:pStyle w:val="Heading1"/>
      </w:pPr>
      <w:r>
        <w:t>5. Preliminary Corporate Tax computation</w:t>
      </w:r>
    </w:p>
    <w:p>
      <w:pPr>
        <w:spacing w:after="80"/>
      </w:pPr>
      <w:r>
        <w:rPr>
          <w:b w:val="0"/>
          <w:i/>
          <w:sz w:val="18"/>
        </w:rPr>
        <w:t>Only CONFIRMED adjustments are included. Proposed adjustments are listed in sections 6, 7 and 13 and are not in these figures.</w:t>
      </w:r>
    </w:p>
    <w:tbl>
      <w:tblPr>
        <w:tblStyle w:val="TableGrid"/>
        <w:tblW w:type="auto" w:w="0"/>
        <w:jc w:val="center"/>
        <w:tblLayout w:type="fixed"/>
        <w:tblLook w:firstColumn="1" w:firstRow="1" w:lastColumn="0" w:lastRow="0" w:noHBand="0" w:noVBand="1" w:val="04A0"/>
      </w:tblPr>
      <w:tblGrid>
        <w:gridCol w:w="7087"/>
        <w:gridCol w:w="2778"/>
      </w:tblGrid>
      <w:tr>
        <w:trPr>
          <w:tblHeader w:val="true"/>
        </w:trPr>
        <w:tc>
          <w:tcPr>
            <w:tcW w:type="dxa" w:w="7087"/>
            <w:shd w:val="clear" w:color="auto" w:fill="283A4A"/>
          </w:tcPr>
          <w:p>
            <w:r/>
            <w:r>
              <w:rPr>
                <w:b/>
                <w:color w:val="FFFFFF"/>
                <w:sz w:val="16"/>
              </w:rPr>
              <w:t>Item</w:t>
            </w:r>
          </w:p>
        </w:tc>
        <w:tc>
          <w:tcPr>
            <w:tcW w:type="dxa" w:w="2778"/>
            <w:shd w:val="clear" w:color="auto" w:fill="283A4A"/>
          </w:tcPr>
          <w:p>
            <w:r/>
            <w:r>
              <w:rPr>
                <w:b/>
                <w:color w:val="FFFFFF"/>
                <w:sz w:val="16"/>
              </w:rPr>
              <w:t>AED</w:t>
            </w:r>
          </w:p>
        </w:tc>
      </w:tr>
      <w:tr>
        <w:tc>
          <w:tcPr>
            <w:tcW w:type="dxa" w:w="7087"/>
          </w:tcPr>
          <w:p>
            <w:r/>
            <w:r>
              <w:rPr>
                <w:sz w:val="16"/>
              </w:rPr>
              <w:t>Accounting profit/(loss)</w:t>
            </w:r>
          </w:p>
        </w:tc>
        <w:tc>
          <w:tcPr>
            <w:tcW w:type="dxa" w:w="2778"/>
          </w:tcPr>
          <w:p>
            <w:pPr>
              <w:jc w:val="right"/>
            </w:pPr>
            <w:r/>
            <w:r>
              <w:rPr>
                <w:sz w:val="16"/>
              </w:rPr>
              <w:t>2,990,000</w:t>
            </w:r>
          </w:p>
        </w:tc>
      </w:tr>
      <w:tr>
        <w:tc>
          <w:tcPr>
            <w:tcW w:type="dxa" w:w="7087"/>
          </w:tcPr>
          <w:p>
            <w:r/>
            <w:r>
              <w:rPr>
                <w:sz w:val="16"/>
              </w:rPr>
              <w:t>Less: deductions / exempt income (confirmed)</w:t>
            </w:r>
          </w:p>
        </w:tc>
        <w:tc>
          <w:tcPr>
            <w:tcW w:type="dxa" w:w="2778"/>
          </w:tcPr>
          <w:p>
            <w:pPr>
              <w:jc w:val="right"/>
            </w:pPr>
            <w:r/>
            <w:r>
              <w:rPr>
                <w:sz w:val="16"/>
              </w:rPr>
              <w:t>(400,000)</w:t>
            </w:r>
          </w:p>
        </w:tc>
      </w:tr>
      <w:tr>
        <w:tc>
          <w:tcPr>
            <w:tcW w:type="dxa" w:w="7087"/>
          </w:tcPr>
          <w:p>
            <w:r/>
            <w:r>
              <w:rPr>
                <w:sz w:val="16"/>
              </w:rPr>
              <w:t>Add: non-deductible expenses (confirmed)</w:t>
            </w:r>
          </w:p>
        </w:tc>
        <w:tc>
          <w:tcPr>
            <w:tcW w:type="dxa" w:w="2778"/>
          </w:tcPr>
          <w:p>
            <w:pPr>
              <w:jc w:val="right"/>
            </w:pPr>
            <w:r/>
            <w:r>
              <w:rPr>
                <w:sz w:val="16"/>
              </w:rPr>
              <w:t>180,000</w:t>
            </w:r>
          </w:p>
        </w:tc>
      </w:tr>
      <w:tr>
        <w:tc>
          <w:tcPr>
            <w:tcW w:type="dxa" w:w="7087"/>
          </w:tcPr>
          <w:p>
            <w:r/>
            <w:r>
              <w:rPr>
                <w:sz w:val="16"/>
              </w:rPr>
              <w:t>Taxable income/(loss)</w:t>
            </w:r>
          </w:p>
        </w:tc>
        <w:tc>
          <w:tcPr>
            <w:tcW w:type="dxa" w:w="2778"/>
          </w:tcPr>
          <w:p>
            <w:pPr>
              <w:jc w:val="right"/>
            </w:pPr>
            <w:r/>
            <w:r>
              <w:rPr>
                <w:sz w:val="16"/>
              </w:rPr>
              <w:t>2,770,000</w:t>
            </w:r>
          </w:p>
        </w:tc>
      </w:tr>
      <w:tr>
        <w:tc>
          <w:tcPr>
            <w:tcW w:type="dxa" w:w="7087"/>
          </w:tcPr>
          <w:p>
            <w:r/>
            <w:r>
              <w:rPr>
                <w:sz w:val="16"/>
              </w:rPr>
              <w:t>Less: tax losses utilised</w:t>
            </w:r>
          </w:p>
        </w:tc>
        <w:tc>
          <w:tcPr>
            <w:tcW w:type="dxa" w:w="2778"/>
          </w:tcPr>
          <w:p>
            <w:pPr>
              <w:jc w:val="right"/>
            </w:pPr>
            <w:r/>
            <w:r>
              <w:rPr>
                <w:sz w:val="16"/>
              </w:rPr>
              <w:t>0</w:t>
            </w:r>
          </w:p>
        </w:tc>
      </w:tr>
      <w:tr>
        <w:tc>
          <w:tcPr>
            <w:tcW w:type="dxa" w:w="7087"/>
          </w:tcPr>
          <w:p>
            <w:r/>
            <w:r>
              <w:rPr>
                <w:sz w:val="16"/>
              </w:rPr>
              <w:t>Net taxable income/(loss)</w:t>
            </w:r>
          </w:p>
        </w:tc>
        <w:tc>
          <w:tcPr>
            <w:tcW w:type="dxa" w:w="2778"/>
          </w:tcPr>
          <w:p>
            <w:pPr>
              <w:jc w:val="right"/>
            </w:pPr>
            <w:r/>
            <w:r>
              <w:rPr>
                <w:sz w:val="16"/>
              </w:rPr>
              <w:t>2,770,000</w:t>
            </w:r>
          </w:p>
        </w:tc>
      </w:tr>
      <w:tr>
        <w:tc>
          <w:tcPr>
            <w:tcW w:type="dxa" w:w="7087"/>
          </w:tcPr>
          <w:p>
            <w:r/>
            <w:r>
              <w:rPr>
                <w:sz w:val="16"/>
              </w:rPr>
              <w:t>Corporate Tax at 0% / 9% (basis: ordinary)</w:t>
            </w:r>
          </w:p>
        </w:tc>
        <w:tc>
          <w:tcPr>
            <w:tcW w:type="dxa" w:w="2778"/>
          </w:tcPr>
          <w:p>
            <w:pPr>
              <w:jc w:val="right"/>
            </w:pPr>
            <w:r/>
            <w:r>
              <w:rPr>
                <w:sz w:val="16"/>
              </w:rPr>
              <w:t>215,550</w:t>
            </w:r>
          </w:p>
        </w:tc>
      </w:tr>
      <w:tr>
        <w:tc>
          <w:tcPr>
            <w:tcW w:type="dxa" w:w="7087"/>
          </w:tcPr>
          <w:p>
            <w:r/>
            <w:r>
              <w:rPr>
                <w:sz w:val="16"/>
              </w:rPr>
              <w:t>Less: foreign tax credit</w:t>
            </w:r>
          </w:p>
        </w:tc>
        <w:tc>
          <w:tcPr>
            <w:tcW w:type="dxa" w:w="2778"/>
          </w:tcPr>
          <w:p>
            <w:pPr>
              <w:jc w:val="right"/>
            </w:pPr>
            <w:r/>
            <w:r>
              <w:rPr>
                <w:sz w:val="16"/>
              </w:rPr>
              <w:t>0</w:t>
            </w:r>
          </w:p>
        </w:tc>
      </w:tr>
      <w:tr>
        <w:tc>
          <w:tcPr>
            <w:tcW w:type="dxa" w:w="7087"/>
          </w:tcPr>
          <w:p>
            <w:r/>
            <w:r>
              <w:rPr>
                <w:sz w:val="16"/>
              </w:rPr>
              <w:t>Corporate Tax payable (preliminary)</w:t>
            </w:r>
          </w:p>
        </w:tc>
        <w:tc>
          <w:tcPr>
            <w:tcW w:type="dxa" w:w="2778"/>
          </w:tcPr>
          <w:p>
            <w:pPr>
              <w:jc w:val="right"/>
            </w:pPr>
            <w:r/>
            <w:r>
              <w:rPr>
                <w:sz w:val="16"/>
              </w:rPr>
              <w:t>215,550</w:t>
            </w:r>
          </w:p>
        </w:tc>
      </w:tr>
    </w:tbl>
    <w:p>
      <w:pPr>
        <w:spacing w:after="40"/>
      </w:pPr>
    </w:p>
    <w:p>
      <w:pPr>
        <w:pStyle w:val="Heading1"/>
      </w:pPr>
      <w:r>
        <w:t>6. Potentially disallowed expenses</w:t>
      </w:r>
    </w:p>
    <w:tbl>
      <w:tblPr>
        <w:tblStyle w:val="TableGrid"/>
        <w:tblW w:type="auto" w:w="0"/>
        <w:jc w:val="center"/>
        <w:tblLayout w:type="fixed"/>
        <w:tblLook w:firstColumn="1" w:firstRow="1" w:lastColumn="0" w:lastRow="0" w:noHBand="0" w:noVBand="1" w:val="04A0"/>
      </w:tblPr>
      <w:tblGrid>
        <w:gridCol w:w="1757"/>
        <w:gridCol w:w="1928"/>
        <w:gridCol w:w="1077"/>
        <w:gridCol w:w="1191"/>
        <w:gridCol w:w="1871"/>
        <w:gridCol w:w="1361"/>
        <w:gridCol w:w="907"/>
      </w:tblGrid>
      <w:tr>
        <w:trPr>
          <w:tblHeader w:val="true"/>
        </w:trPr>
        <w:tc>
          <w:tcPr>
            <w:tcW w:type="dxa" w:w="1757"/>
            <w:shd w:val="clear" w:color="auto" w:fill="283A4A"/>
          </w:tcPr>
          <w:p>
            <w:r/>
            <w:r>
              <w:rPr>
                <w:b/>
                <w:color w:val="FFFFFF"/>
                <w:sz w:val="14"/>
              </w:rPr>
              <w:t>Account</w:t>
            </w:r>
          </w:p>
        </w:tc>
        <w:tc>
          <w:tcPr>
            <w:tcW w:type="dxa" w:w="1928"/>
            <w:shd w:val="clear" w:color="auto" w:fill="283A4A"/>
          </w:tcPr>
          <w:p>
            <w:r/>
            <w:r>
              <w:rPr>
                <w:b/>
                <w:color w:val="FFFFFF"/>
                <w:sz w:val="14"/>
              </w:rPr>
              <w:t>Item</w:t>
            </w:r>
          </w:p>
        </w:tc>
        <w:tc>
          <w:tcPr>
            <w:tcW w:type="dxa" w:w="1077"/>
            <w:shd w:val="clear" w:color="auto" w:fill="283A4A"/>
          </w:tcPr>
          <w:p>
            <w:r/>
            <w:r>
              <w:rPr>
                <w:b/>
                <w:color w:val="FFFFFF"/>
                <w:sz w:val="14"/>
              </w:rPr>
              <w:t>AED</w:t>
            </w:r>
          </w:p>
        </w:tc>
        <w:tc>
          <w:tcPr>
            <w:tcW w:type="dxa" w:w="1191"/>
            <w:shd w:val="clear" w:color="auto" w:fill="283A4A"/>
          </w:tcPr>
          <w:p>
            <w:r/>
            <w:r>
              <w:rPr>
                <w:b/>
                <w:color w:val="FFFFFF"/>
                <w:sz w:val="14"/>
              </w:rPr>
              <w:t>Status</w:t>
            </w:r>
          </w:p>
        </w:tc>
        <w:tc>
          <w:tcPr>
            <w:tcW w:type="dxa" w:w="1871"/>
            <w:shd w:val="clear" w:color="auto" w:fill="283A4A"/>
          </w:tcPr>
          <w:p>
            <w:r/>
            <w:r>
              <w:rPr>
                <w:b/>
                <w:color w:val="FFFFFF"/>
                <w:sz w:val="14"/>
              </w:rPr>
              <w:t>Observation</w:t>
            </w:r>
          </w:p>
        </w:tc>
        <w:tc>
          <w:tcPr>
            <w:tcW w:type="dxa" w:w="1361"/>
            <w:shd w:val="clear" w:color="auto" w:fill="283A4A"/>
          </w:tcPr>
          <w:p>
            <w:r/>
            <w:r>
              <w:rPr>
                <w:b/>
                <w:color w:val="FFFFFF"/>
                <w:sz w:val="14"/>
              </w:rPr>
              <w:t>Documents required</w:t>
            </w:r>
          </w:p>
        </w:tc>
        <w:tc>
          <w:tcPr>
            <w:tcW w:type="dxa" w:w="907"/>
            <w:shd w:val="clear" w:color="auto" w:fill="283A4A"/>
          </w:tcPr>
          <w:p>
            <w:r/>
            <w:r>
              <w:rPr>
                <w:b/>
                <w:color w:val="FFFFFF"/>
                <w:sz w:val="14"/>
              </w:rPr>
              <w:t>Mgmt response</w:t>
            </w:r>
          </w:p>
        </w:tc>
      </w:tr>
      <w:tr>
        <w:tc>
          <w:tcPr>
            <w:tcW w:type="dxa" w:w="1757"/>
          </w:tcPr>
          <w:p>
            <w:r/>
            <w:r>
              <w:rPr>
                <w:sz w:val="14"/>
              </w:rPr>
              <w:t>6020 Client entertainment and hospitality</w:t>
            </w:r>
          </w:p>
        </w:tc>
        <w:tc>
          <w:tcPr>
            <w:tcW w:type="dxa" w:w="1928"/>
          </w:tcPr>
          <w:p>
            <w:r/>
            <w:r>
              <w:rPr>
                <w:sz w:val="14"/>
              </w:rPr>
              <w:t>Entertainment / hospitality - Client entertainment and hospitality</w:t>
            </w:r>
          </w:p>
        </w:tc>
        <w:tc>
          <w:tcPr>
            <w:tcW w:type="dxa" w:w="1077"/>
          </w:tcPr>
          <w:p>
            <w:pPr>
              <w:jc w:val="right"/>
            </w:pPr>
            <w:r/>
            <w:r>
              <w:rPr>
                <w:sz w:val="14"/>
              </w:rPr>
              <w:t>35,000</w:t>
            </w:r>
          </w:p>
        </w:tc>
        <w:tc>
          <w:tcPr>
            <w:tcW w:type="dxa" w:w="1191"/>
            <w:shd w:val="clear" w:color="auto" w:fill="E2EFDA"/>
          </w:tcPr>
          <w:p>
            <w:r/>
            <w:r>
              <w:rPr>
                <w:b/>
                <w:sz w:val="14"/>
              </w:rPr>
              <w:t>Confirmed</w:t>
            </w:r>
          </w:p>
        </w:tc>
        <w:tc>
          <w:tcPr>
            <w:tcW w:type="dxa" w:w="1871"/>
          </w:tcPr>
          <w:p>
            <w:r/>
            <w:r>
              <w:rPr>
                <w:sz w:val="14"/>
              </w:rPr>
              <w:t>50% of entertainment (net of any staff-only share) proposed - restriction applies to customers, shareholders, suppliers and business partners.</w:t>
            </w:r>
          </w:p>
        </w:tc>
        <w:tc>
          <w:tcPr>
            <w:tcW w:type="dxa" w:w="1361"/>
          </w:tcPr>
          <w:p>
            <w:r/>
            <w:r>
              <w:rPr>
                <w:sz w:val="14"/>
              </w:rPr>
              <w:t>Invoices and proof of payment; Attendee list and business purpose; Split between staff and external guests</w:t>
            </w:r>
          </w:p>
        </w:tc>
        <w:tc>
          <w:tcPr>
            <w:tcW w:type="dxa" w:w="907"/>
          </w:tcPr>
          <w:p>
            <w:r/>
            <w:r>
              <w:rPr>
                <w:sz w:val="14"/>
              </w:rPr>
              <w:t>50% Disallowed</w:t>
            </w:r>
          </w:p>
        </w:tc>
      </w:tr>
      <w:tr>
        <w:tc>
          <w:tcPr>
            <w:tcW w:type="dxa" w:w="1757"/>
          </w:tcPr>
          <w:p>
            <w:r/>
            <w:r>
              <w:rPr>
                <w:sz w:val="14"/>
              </w:rPr>
              <w:t>6030 Donations</w:t>
            </w:r>
          </w:p>
        </w:tc>
        <w:tc>
          <w:tcPr>
            <w:tcW w:type="dxa" w:w="1928"/>
          </w:tcPr>
          <w:p>
            <w:r/>
            <w:r>
              <w:rPr>
                <w:sz w:val="14"/>
              </w:rPr>
              <w:t>Donations / charitable - Donations</w:t>
            </w:r>
          </w:p>
        </w:tc>
        <w:tc>
          <w:tcPr>
            <w:tcW w:type="dxa" w:w="1077"/>
          </w:tcPr>
          <w:p>
            <w:pPr>
              <w:jc w:val="right"/>
            </w:pPr>
            <w:r/>
            <w:r>
              <w:rPr>
                <w:sz w:val="14"/>
              </w:rPr>
              <w:t>75,000</w:t>
            </w:r>
          </w:p>
        </w:tc>
        <w:tc>
          <w:tcPr>
            <w:tcW w:type="dxa" w:w="1191"/>
            <w:shd w:val="clear" w:color="auto" w:fill="E2EFDA"/>
          </w:tcPr>
          <w:p>
            <w:r/>
            <w:r>
              <w:rPr>
                <w:b/>
                <w:sz w:val="14"/>
              </w:rPr>
              <w:t>Confirmed</w:t>
            </w:r>
          </w:p>
        </w:tc>
        <w:tc>
          <w:tcPr>
            <w:tcW w:type="dxa" w:w="1871"/>
          </w:tcPr>
          <w:p>
            <w:r/>
            <w:r>
              <w:rPr>
                <w:sz w:val="14"/>
              </w:rPr>
              <w:t>Donations proposed as non-deductible unless the recipient is a Qualifying Public Benefit Entity.</w:t>
            </w:r>
          </w:p>
        </w:tc>
        <w:tc>
          <w:tcPr>
            <w:tcW w:type="dxa" w:w="1361"/>
          </w:tcPr>
          <w:p>
            <w:r/>
            <w:r>
              <w:rPr>
                <w:sz w:val="14"/>
              </w:rPr>
              <w:t>Recipient name and proof of Qualifying Public Benefit Entity status; Receipts</w:t>
            </w:r>
          </w:p>
        </w:tc>
        <w:tc>
          <w:tcPr>
            <w:tcW w:type="dxa" w:w="907"/>
          </w:tcPr>
          <w:p>
            <w:r/>
            <w:r>
              <w:rPr>
                <w:sz w:val="14"/>
              </w:rPr>
              <w:t>-</w:t>
            </w:r>
          </w:p>
        </w:tc>
      </w:tr>
      <w:tr>
        <w:tc>
          <w:tcPr>
            <w:tcW w:type="dxa" w:w="1757"/>
          </w:tcPr>
          <w:p>
            <w:r/>
            <w:r>
              <w:rPr>
                <w:sz w:val="14"/>
              </w:rPr>
              <w:t>6140 Director personal expenses</w:t>
            </w:r>
          </w:p>
        </w:tc>
        <w:tc>
          <w:tcPr>
            <w:tcW w:type="dxa" w:w="1928"/>
          </w:tcPr>
          <w:p>
            <w:r/>
            <w:r>
              <w:rPr>
                <w:sz w:val="14"/>
              </w:rPr>
              <w:t>Personal / owner expenses - Director personal expenses</w:t>
            </w:r>
          </w:p>
        </w:tc>
        <w:tc>
          <w:tcPr>
            <w:tcW w:type="dxa" w:w="1077"/>
          </w:tcPr>
          <w:p>
            <w:pPr>
              <w:jc w:val="right"/>
            </w:pPr>
            <w:r/>
            <w:r>
              <w:rPr>
                <w:sz w:val="14"/>
              </w:rPr>
              <w:t>42,000</w:t>
            </w:r>
          </w:p>
        </w:tc>
        <w:tc>
          <w:tcPr>
            <w:tcW w:type="dxa" w:w="1191"/>
            <w:shd w:val="clear" w:color="auto" w:fill="E2EFDA"/>
          </w:tcPr>
          <w:p>
            <w:r/>
            <w:r>
              <w:rPr>
                <w:b/>
                <w:sz w:val="14"/>
              </w:rPr>
              <w:t>Confirmed</w:t>
            </w:r>
          </w:p>
        </w:tc>
        <w:tc>
          <w:tcPr>
            <w:tcW w:type="dxa" w:w="1871"/>
          </w:tcPr>
          <w:p>
            <w:r/>
            <w:r>
              <w:rPr>
                <w:sz w:val="14"/>
              </w:rPr>
              <w:t>Business purpose to be confirmed.</w:t>
            </w:r>
          </w:p>
        </w:tc>
        <w:tc>
          <w:tcPr>
            <w:tcW w:type="dxa" w:w="1361"/>
          </w:tcPr>
          <w:p>
            <w:r/>
            <w:r>
              <w:rPr>
                <w:sz w:val="14"/>
              </w:rPr>
              <w:t>Business purpose for each item; Supporting invoices; Owner/shareholder confirmation</w:t>
            </w:r>
          </w:p>
        </w:tc>
        <w:tc>
          <w:tcPr>
            <w:tcW w:type="dxa" w:w="907"/>
          </w:tcPr>
          <w:p>
            <w:r/>
            <w:r>
              <w:rPr>
                <w:sz w:val="14"/>
              </w:rPr>
              <w:t>disallowed</w:t>
            </w:r>
          </w:p>
        </w:tc>
      </w:tr>
      <w:tr>
        <w:tc>
          <w:tcPr>
            <w:tcW w:type="dxa" w:w="1757"/>
          </w:tcPr>
          <w:p>
            <w:r/>
            <w:r>
              <w:rPr>
                <w:sz w:val="14"/>
              </w:rPr>
              <w:t>6040 Fines and penalties</w:t>
            </w:r>
          </w:p>
        </w:tc>
        <w:tc>
          <w:tcPr>
            <w:tcW w:type="dxa" w:w="1928"/>
          </w:tcPr>
          <w:p>
            <w:r/>
            <w:r>
              <w:rPr>
                <w:sz w:val="14"/>
              </w:rPr>
              <w:t>Fines and penalties - Fines and penalties</w:t>
            </w:r>
          </w:p>
        </w:tc>
        <w:tc>
          <w:tcPr>
            <w:tcW w:type="dxa" w:w="1077"/>
          </w:tcPr>
          <w:p>
            <w:pPr>
              <w:jc w:val="right"/>
            </w:pPr>
            <w:r/>
            <w:r>
              <w:rPr>
                <w:sz w:val="14"/>
              </w:rPr>
              <w:t>28,000</w:t>
            </w:r>
          </w:p>
        </w:tc>
        <w:tc>
          <w:tcPr>
            <w:tcW w:type="dxa" w:w="1191"/>
            <w:shd w:val="clear" w:color="auto" w:fill="E2EFDA"/>
          </w:tcPr>
          <w:p>
            <w:r/>
            <w:r>
              <w:rPr>
                <w:b/>
                <w:sz w:val="14"/>
              </w:rPr>
              <w:t>Confirmed</w:t>
            </w:r>
          </w:p>
        </w:tc>
        <w:tc>
          <w:tcPr>
            <w:tcW w:type="dxa" w:w="1871"/>
          </w:tcPr>
          <w:p>
            <w:r/>
            <w:r>
              <w:rPr>
                <w:sz w:val="14"/>
              </w:rPr>
              <w:t>Fines and penalties proposed as non-deductible except amounts that are compensation for damages or breach of contract.</w:t>
            </w:r>
          </w:p>
        </w:tc>
        <w:tc>
          <w:tcPr>
            <w:tcW w:type="dxa" w:w="1361"/>
          </w:tcPr>
          <w:p>
            <w:r/>
            <w:r>
              <w:rPr>
                <w:sz w:val="14"/>
              </w:rPr>
              <w:t>Notice or order giving rise to each fine/penalty; Nature (regulatory vs contractual compensation)</w:t>
            </w:r>
          </w:p>
        </w:tc>
        <w:tc>
          <w:tcPr>
            <w:tcW w:type="dxa" w:w="907"/>
          </w:tcPr>
          <w:p>
            <w:r/>
            <w:r>
              <w:rPr>
                <w:sz w:val="14"/>
              </w:rPr>
              <w:t>-</w:t>
            </w:r>
          </w:p>
        </w:tc>
      </w:tr>
    </w:tbl>
    <w:p>
      <w:pPr>
        <w:spacing w:after="40"/>
      </w:pPr>
    </w:p>
    <w:p>
      <w:pPr>
        <w:pStyle w:val="Heading3"/>
      </w:pPr>
      <w:r>
        <w:t>Accounts requiring review (no amount proposed)</w:t>
      </w:r>
    </w:p>
    <w:tbl>
      <w:tblPr>
        <w:tblStyle w:val="TableGrid"/>
        <w:tblW w:type="auto" w:w="0"/>
        <w:jc w:val="center"/>
        <w:tblLayout w:type="fixed"/>
        <w:tblLook w:firstColumn="1" w:firstRow="1" w:lastColumn="0" w:lastRow="0" w:noHBand="0" w:noVBand="1" w:val="04A0"/>
      </w:tblPr>
      <w:tblGrid>
        <w:gridCol w:w="2551"/>
        <w:gridCol w:w="1361"/>
        <w:gridCol w:w="4535"/>
        <w:gridCol w:w="1417"/>
      </w:tblGrid>
      <w:tr>
        <w:trPr>
          <w:tblHeader w:val="true"/>
        </w:trPr>
        <w:tc>
          <w:tcPr>
            <w:tcW w:type="dxa" w:w="2551"/>
            <w:shd w:val="clear" w:color="auto" w:fill="283A4A"/>
          </w:tcPr>
          <w:p>
            <w:r/>
            <w:r>
              <w:rPr>
                <w:b/>
                <w:color w:val="FFFFFF"/>
                <w:sz w:val="15"/>
              </w:rPr>
              <w:t>Account</w:t>
            </w:r>
          </w:p>
        </w:tc>
        <w:tc>
          <w:tcPr>
            <w:tcW w:type="dxa" w:w="1361"/>
            <w:shd w:val="clear" w:color="auto" w:fill="283A4A"/>
          </w:tcPr>
          <w:p>
            <w:r/>
            <w:r>
              <w:rPr>
                <w:b/>
                <w:color w:val="FFFFFF"/>
                <w:sz w:val="15"/>
              </w:rPr>
              <w:t>Balance (AED)</w:t>
            </w:r>
          </w:p>
        </w:tc>
        <w:tc>
          <w:tcPr>
            <w:tcW w:type="dxa" w:w="4535"/>
            <w:shd w:val="clear" w:color="auto" w:fill="283A4A"/>
          </w:tcPr>
          <w:p>
            <w:r/>
            <w:r>
              <w:rPr>
                <w:b/>
                <w:color w:val="FFFFFF"/>
                <w:sz w:val="15"/>
              </w:rPr>
              <w:t>Observation</w:t>
            </w:r>
          </w:p>
        </w:tc>
        <w:tc>
          <w:tcPr>
            <w:tcW w:type="dxa" w:w="1417"/>
            <w:shd w:val="clear" w:color="auto" w:fill="283A4A"/>
          </w:tcPr>
          <w:p>
            <w:r/>
            <w:r>
              <w:rPr>
                <w:b/>
                <w:color w:val="FFFFFF"/>
                <w:sz w:val="15"/>
              </w:rPr>
              <w:t>Status</w:t>
            </w:r>
          </w:p>
        </w:tc>
      </w:tr>
      <w:tr>
        <w:tc>
          <w:tcPr>
            <w:tcW w:type="dxa" w:w="2551"/>
          </w:tcPr>
          <w:p>
            <w:r/>
            <w:r>
              <w:rPr>
                <w:sz w:val="15"/>
              </w:rPr>
              <w:t>6150 Marketing and advertising</w:t>
            </w:r>
          </w:p>
        </w:tc>
        <w:tc>
          <w:tcPr>
            <w:tcW w:type="dxa" w:w="1361"/>
          </w:tcPr>
          <w:p>
            <w:pPr>
              <w:jc w:val="right"/>
            </w:pPr>
            <w:r/>
            <w:r>
              <w:rPr>
                <w:sz w:val="15"/>
              </w:rPr>
              <w:t>220,000</w:t>
            </w:r>
          </w:p>
        </w:tc>
        <w:tc>
          <w:tcPr>
            <w:tcW w:type="dxa" w:w="4535"/>
          </w:tcPr>
          <w:p>
            <w:r/>
            <w:r>
              <w:rPr>
                <w:sz w:val="15"/>
              </w:rPr>
              <w:t>Deductibility requires a business purpose and documents; payments to related parties, owners or for entertainment may be restricted.</w:t>
            </w:r>
          </w:p>
        </w:tc>
        <w:tc>
          <w:tcPr>
            <w:tcW w:type="dxa" w:w="1417"/>
            <w:shd w:val="clear" w:color="auto" w:fill="FCE4D6"/>
          </w:tcPr>
          <w:p>
            <w:r/>
            <w:r>
              <w:rPr>
                <w:b/>
                <w:sz w:val="15"/>
              </w:rPr>
              <w:t>Information required</w:t>
            </w:r>
          </w:p>
        </w:tc>
      </w:tr>
      <w:tr>
        <w:tc>
          <w:tcPr>
            <w:tcW w:type="dxa" w:w="2551"/>
          </w:tcPr>
          <w:p>
            <w:r/>
            <w:r>
              <w:rPr>
                <w:sz w:val="15"/>
              </w:rPr>
              <w:t>6050 Professional and legal fees</w:t>
            </w:r>
          </w:p>
        </w:tc>
        <w:tc>
          <w:tcPr>
            <w:tcW w:type="dxa" w:w="1361"/>
          </w:tcPr>
          <w:p>
            <w:pPr>
              <w:jc w:val="right"/>
            </w:pPr>
            <w:r/>
            <w:r>
              <w:rPr>
                <w:sz w:val="15"/>
              </w:rPr>
              <w:t>160,000</w:t>
            </w:r>
          </w:p>
        </w:tc>
        <w:tc>
          <w:tcPr>
            <w:tcW w:type="dxa" w:w="4535"/>
          </w:tcPr>
          <w:p>
            <w:r/>
            <w:r>
              <w:rPr>
                <w:sz w:val="15"/>
              </w:rPr>
              <w:t>Check business purpose, capital nature (e.g. acquisition/structuring costs), related-party payees and arm's-length pricing.</w:t>
            </w:r>
          </w:p>
        </w:tc>
        <w:tc>
          <w:tcPr>
            <w:tcW w:type="dxa" w:w="1417"/>
            <w:shd w:val="clear" w:color="auto" w:fill="FCE4D6"/>
          </w:tcPr>
          <w:p>
            <w:r/>
            <w:r>
              <w:rPr>
                <w:b/>
                <w:sz w:val="15"/>
              </w:rPr>
              <w:t>Information required</w:t>
            </w:r>
          </w:p>
        </w:tc>
      </w:tr>
      <w:tr>
        <w:tc>
          <w:tcPr>
            <w:tcW w:type="dxa" w:w="2551"/>
          </w:tcPr>
          <w:p>
            <w:r/>
            <w:r>
              <w:rPr>
                <w:sz w:val="15"/>
              </w:rPr>
              <w:t>6100 Repairs and maintenance</w:t>
            </w:r>
          </w:p>
        </w:tc>
        <w:tc>
          <w:tcPr>
            <w:tcW w:type="dxa" w:w="1361"/>
          </w:tcPr>
          <w:p>
            <w:pPr>
              <w:jc w:val="right"/>
            </w:pPr>
            <w:r/>
            <w:r>
              <w:rPr>
                <w:sz w:val="15"/>
              </w:rPr>
              <w:t>70,000</w:t>
            </w:r>
          </w:p>
        </w:tc>
        <w:tc>
          <w:tcPr>
            <w:tcW w:type="dxa" w:w="4535"/>
          </w:tcPr>
          <w:p>
            <w:r/>
            <w:r>
              <w:rPr>
                <w:sz w:val="15"/>
              </w:rPr>
              <w:t>Check for expenditure of a capital nature that has been expensed.</w:t>
            </w:r>
          </w:p>
        </w:tc>
        <w:tc>
          <w:tcPr>
            <w:tcW w:type="dxa" w:w="1417"/>
            <w:shd w:val="clear" w:color="auto" w:fill="FCE4D6"/>
          </w:tcPr>
          <w:p>
            <w:r/>
            <w:r>
              <w:rPr>
                <w:b/>
                <w:sz w:val="15"/>
              </w:rPr>
              <w:t>Information required</w:t>
            </w:r>
          </w:p>
        </w:tc>
      </w:tr>
    </w:tbl>
    <w:p>
      <w:pPr>
        <w:spacing w:after="40"/>
      </w:pPr>
    </w:p>
    <w:p>
      <w:pPr>
        <w:spacing w:after="80"/>
      </w:pPr>
      <w:r>
        <w:rPr>
          <w:b w:val="0"/>
          <w:i/>
          <w:color w:val="595959"/>
          <w:sz w:val="17"/>
        </w:rPr>
        <w:t>Wording: an item is described as 'disallowed' only where its status is Confirmed. All other items are potential adjustments pending evidence.</w:t>
      </w:r>
    </w:p>
    <w:p>
      <w:pPr>
        <w:pStyle w:val="Heading1"/>
      </w:pPr>
      <w:r>
        <w:t>7. Potentially exempt income</w:t>
      </w:r>
    </w:p>
    <w:tbl>
      <w:tblPr>
        <w:tblStyle w:val="TableGrid"/>
        <w:tblW w:type="auto" w:w="0"/>
        <w:jc w:val="center"/>
        <w:tblLayout w:type="fixed"/>
        <w:tblLook w:firstColumn="1" w:firstRow="1" w:lastColumn="0" w:lastRow="0" w:noHBand="0" w:noVBand="1" w:val="04A0"/>
      </w:tblPr>
      <w:tblGrid>
        <w:gridCol w:w="1757"/>
        <w:gridCol w:w="1928"/>
        <w:gridCol w:w="1077"/>
        <w:gridCol w:w="1191"/>
        <w:gridCol w:w="1871"/>
        <w:gridCol w:w="1361"/>
        <w:gridCol w:w="907"/>
      </w:tblGrid>
      <w:tr>
        <w:trPr>
          <w:tblHeader w:val="true"/>
        </w:trPr>
        <w:tc>
          <w:tcPr>
            <w:tcW w:type="dxa" w:w="1757"/>
            <w:shd w:val="clear" w:color="auto" w:fill="283A4A"/>
          </w:tcPr>
          <w:p>
            <w:r/>
            <w:r>
              <w:rPr>
                <w:b/>
                <w:color w:val="FFFFFF"/>
                <w:sz w:val="14"/>
              </w:rPr>
              <w:t>Account</w:t>
            </w:r>
          </w:p>
        </w:tc>
        <w:tc>
          <w:tcPr>
            <w:tcW w:type="dxa" w:w="1928"/>
            <w:shd w:val="clear" w:color="auto" w:fill="283A4A"/>
          </w:tcPr>
          <w:p>
            <w:r/>
            <w:r>
              <w:rPr>
                <w:b/>
                <w:color w:val="FFFFFF"/>
                <w:sz w:val="14"/>
              </w:rPr>
              <w:t>Item</w:t>
            </w:r>
          </w:p>
        </w:tc>
        <w:tc>
          <w:tcPr>
            <w:tcW w:type="dxa" w:w="1077"/>
            <w:shd w:val="clear" w:color="auto" w:fill="283A4A"/>
          </w:tcPr>
          <w:p>
            <w:r/>
            <w:r>
              <w:rPr>
                <w:b/>
                <w:color w:val="FFFFFF"/>
                <w:sz w:val="14"/>
              </w:rPr>
              <w:t>AED</w:t>
            </w:r>
          </w:p>
        </w:tc>
        <w:tc>
          <w:tcPr>
            <w:tcW w:type="dxa" w:w="1191"/>
            <w:shd w:val="clear" w:color="auto" w:fill="283A4A"/>
          </w:tcPr>
          <w:p>
            <w:r/>
            <w:r>
              <w:rPr>
                <w:b/>
                <w:color w:val="FFFFFF"/>
                <w:sz w:val="14"/>
              </w:rPr>
              <w:t>Status</w:t>
            </w:r>
          </w:p>
        </w:tc>
        <w:tc>
          <w:tcPr>
            <w:tcW w:type="dxa" w:w="1871"/>
            <w:shd w:val="clear" w:color="auto" w:fill="283A4A"/>
          </w:tcPr>
          <w:p>
            <w:r/>
            <w:r>
              <w:rPr>
                <w:b/>
                <w:color w:val="FFFFFF"/>
                <w:sz w:val="14"/>
              </w:rPr>
              <w:t>Observation</w:t>
            </w:r>
          </w:p>
        </w:tc>
        <w:tc>
          <w:tcPr>
            <w:tcW w:type="dxa" w:w="1361"/>
            <w:shd w:val="clear" w:color="auto" w:fill="283A4A"/>
          </w:tcPr>
          <w:p>
            <w:r/>
            <w:r>
              <w:rPr>
                <w:b/>
                <w:color w:val="FFFFFF"/>
                <w:sz w:val="14"/>
              </w:rPr>
              <w:t>Documents required</w:t>
            </w:r>
          </w:p>
        </w:tc>
        <w:tc>
          <w:tcPr>
            <w:tcW w:type="dxa" w:w="907"/>
            <w:shd w:val="clear" w:color="auto" w:fill="283A4A"/>
          </w:tcPr>
          <w:p>
            <w:r/>
            <w:r>
              <w:rPr>
                <w:b/>
                <w:color w:val="FFFFFF"/>
                <w:sz w:val="14"/>
              </w:rPr>
              <w:t>Mgmt response</w:t>
            </w:r>
          </w:p>
        </w:tc>
      </w:tr>
      <w:tr>
        <w:tc>
          <w:tcPr>
            <w:tcW w:type="dxa" w:w="1757"/>
          </w:tcPr>
          <w:p>
            <w:r/>
            <w:r>
              <w:rPr>
                <w:sz w:val="14"/>
              </w:rPr>
              <w:t>4200 Dividend income - Marjan Logistics FZE</w:t>
            </w:r>
          </w:p>
        </w:tc>
        <w:tc>
          <w:tcPr>
            <w:tcW w:type="dxa" w:w="1928"/>
          </w:tcPr>
          <w:p>
            <w:r/>
            <w:r>
              <w:rPr>
                <w:sz w:val="14"/>
              </w:rPr>
              <w:t>Dividend from UAE resident juridical person - Dividend income - Marjan Logistics FZE</w:t>
            </w:r>
          </w:p>
        </w:tc>
        <w:tc>
          <w:tcPr>
            <w:tcW w:type="dxa" w:w="1077"/>
          </w:tcPr>
          <w:p>
            <w:pPr>
              <w:jc w:val="right"/>
            </w:pPr>
            <w:r/>
            <w:r>
              <w:rPr>
                <w:sz w:val="14"/>
              </w:rPr>
              <w:t>400,000</w:t>
            </w:r>
          </w:p>
        </w:tc>
        <w:tc>
          <w:tcPr>
            <w:tcW w:type="dxa" w:w="1191"/>
            <w:shd w:val="clear" w:color="auto" w:fill="E2EFDA"/>
          </w:tcPr>
          <w:p>
            <w:r/>
            <w:r>
              <w:rPr>
                <w:b/>
                <w:sz w:val="14"/>
              </w:rPr>
              <w:t>Confirmed</w:t>
            </w:r>
          </w:p>
        </w:tc>
        <w:tc>
          <w:tcPr>
            <w:tcW w:type="dxa" w:w="1871"/>
          </w:tcPr>
          <w:p>
            <w:r/>
            <w:r>
              <w:rPr>
                <w:sz w:val="14"/>
              </w:rPr>
              <w:t>Payer:  (UAE resident juridical person).</w:t>
            </w:r>
          </w:p>
        </w:tc>
        <w:tc>
          <w:tcPr>
            <w:tcW w:type="dxa" w:w="1361"/>
          </w:tcPr>
          <w:p>
            <w:r/>
            <w:r>
              <w:rPr>
                <w:sz w:val="14"/>
              </w:rPr>
              <w:t>Dividend voucher</w:t>
            </w:r>
          </w:p>
        </w:tc>
        <w:tc>
          <w:tcPr>
            <w:tcW w:type="dxa" w:w="907"/>
          </w:tcPr>
          <w:p>
            <w:r/>
            <w:r>
              <w:rPr>
                <w:sz w:val="14"/>
              </w:rPr>
              <w:t>-</w:t>
            </w:r>
          </w:p>
        </w:tc>
      </w:tr>
    </w:tbl>
    <w:p>
      <w:pPr>
        <w:spacing w:after="40"/>
      </w:pPr>
    </w:p>
    <w:tbl>
      <w:tblPr>
        <w:tblStyle w:val="TableGrid"/>
        <w:tblW w:type="auto" w:w="0"/>
        <w:jc w:val="center"/>
        <w:tblLayout w:type="fixed"/>
        <w:tblLook w:firstColumn="1" w:firstRow="1" w:lastColumn="0" w:lastRow="0" w:noHBand="0" w:noVBand="1" w:val="04A0"/>
      </w:tblPr>
      <w:tblGrid>
        <w:gridCol w:w="7654"/>
        <w:gridCol w:w="2211"/>
      </w:tblGrid>
      <w:tr>
        <w:trPr>
          <w:tblHeader w:val="true"/>
        </w:trPr>
        <w:tc>
          <w:tcPr>
            <w:tcW w:type="dxa" w:w="7654"/>
            <w:shd w:val="clear" w:color="auto" w:fill="283A4A"/>
          </w:tcPr>
          <w:p>
            <w:r/>
            <w:r>
              <w:rPr>
                <w:b/>
                <w:color w:val="FFFFFF"/>
                <w:sz w:val="16"/>
              </w:rPr>
              <w:t>Open point</w:t>
            </w:r>
          </w:p>
        </w:tc>
        <w:tc>
          <w:tcPr>
            <w:tcW w:type="dxa" w:w="2211"/>
            <w:shd w:val="clear" w:color="auto" w:fill="283A4A"/>
          </w:tcPr>
          <w:p>
            <w:r/>
            <w:r>
              <w:rPr>
                <w:b/>
                <w:color w:val="FFFFFF"/>
                <w:sz w:val="16"/>
              </w:rPr>
              <w:t>Status</w:t>
            </w:r>
          </w:p>
        </w:tc>
      </w:tr>
      <w:tr>
        <w:tc>
          <w:tcPr>
            <w:tcW w:type="dxa" w:w="7654"/>
          </w:tcPr>
          <w:p>
            <w:r/>
            <w:r>
              <w:rPr>
                <w:sz w:val="16"/>
              </w:rPr>
              <w:t>Expenses incurred in deriving exempt income (e.g. interest on funding) are non-deductible - quantify and enter under 'Additional adjustments'.</w:t>
            </w:r>
          </w:p>
        </w:tc>
        <w:tc>
          <w:tcPr>
            <w:tcW w:type="dxa" w:w="2211"/>
            <w:shd w:val="clear" w:color="auto" w:fill="FCE4D6"/>
          </w:tcPr>
          <w:p>
            <w:r/>
            <w:r>
              <w:rPr>
                <w:b/>
                <w:sz w:val="16"/>
              </w:rPr>
              <w:t>Information required</w:t>
            </w:r>
          </w:p>
        </w:tc>
      </w:tr>
      <w:tr>
        <w:tc>
          <w:tcPr>
            <w:tcW w:type="dxa" w:w="7654"/>
          </w:tcPr>
          <w:p>
            <w:r/>
            <w:r>
              <w:rPr>
                <w:sz w:val="16"/>
              </w:rPr>
              <w:t>Management has not confirmed the exempt-income position (dividends and share gains exist in the TB).</w:t>
            </w:r>
          </w:p>
        </w:tc>
        <w:tc>
          <w:tcPr>
            <w:tcW w:type="dxa" w:w="2211"/>
            <w:shd w:val="clear" w:color="auto" w:fill="FCE4D6"/>
          </w:tcPr>
          <w:p>
            <w:r/>
            <w:r>
              <w:rPr>
                <w:b/>
                <w:sz w:val="16"/>
              </w:rPr>
              <w:t>Information required</w:t>
            </w:r>
          </w:p>
        </w:tc>
      </w:tr>
    </w:tbl>
    <w:p>
      <w:pPr>
        <w:spacing w:after="40"/>
      </w:pPr>
    </w:p>
    <w:p>
      <w:pPr>
        <w:spacing w:after="80"/>
      </w:pPr>
      <w:r>
        <w:rPr>
          <w:b w:val="0"/>
          <w:i/>
          <w:color w:val="595959"/>
          <w:sz w:val="17"/>
        </w:rPr>
        <w:t>Exemption conditions (ownership/cost, holding period, subject-to-tax) are applied only to the facts entered in the questionnaire; the tool does not verify them.</w:t>
      </w:r>
    </w:p>
    <w:p>
      <w:pPr>
        <w:pStyle w:val="Heading1"/>
      </w:pPr>
      <w:r>
        <w:t>8. QFZP and other relief considerations</w:t>
      </w:r>
    </w:p>
    <w:tbl>
      <w:tblPr>
        <w:tblStyle w:val="TableGrid"/>
        <w:tblW w:type="auto" w:w="0"/>
        <w:jc w:val="center"/>
        <w:tblLayout w:type="fixed"/>
        <w:tblLook w:firstColumn="1" w:firstRow="1" w:lastColumn="0" w:lastRow="0" w:noHBand="0" w:noVBand="1" w:val="04A0"/>
      </w:tblPr>
      <w:tblGrid>
        <w:gridCol w:w="2268"/>
        <w:gridCol w:w="2494"/>
        <w:gridCol w:w="5102"/>
      </w:tblGrid>
      <w:tr>
        <w:trPr>
          <w:tblHeader w:val="true"/>
        </w:trPr>
        <w:tc>
          <w:tcPr>
            <w:tcW w:type="dxa" w:w="2268"/>
            <w:shd w:val="clear" w:color="auto" w:fill="283A4A"/>
          </w:tcPr>
          <w:p>
            <w:r/>
            <w:r>
              <w:rPr>
                <w:b/>
                <w:color w:val="FFFFFF"/>
                <w:sz w:val="16"/>
              </w:rPr>
              <w:t>Area</w:t>
            </w:r>
          </w:p>
        </w:tc>
        <w:tc>
          <w:tcPr>
            <w:tcW w:type="dxa" w:w="2494"/>
            <w:shd w:val="clear" w:color="auto" w:fill="283A4A"/>
          </w:tcPr>
          <w:p>
            <w:r/>
            <w:r>
              <w:rPr>
                <w:b/>
                <w:color w:val="FFFFFF"/>
                <w:sz w:val="16"/>
              </w:rPr>
              <w:t>Position</w:t>
            </w:r>
          </w:p>
        </w:tc>
        <w:tc>
          <w:tcPr>
            <w:tcW w:type="dxa" w:w="5102"/>
            <w:shd w:val="clear" w:color="auto" w:fill="283A4A"/>
          </w:tcPr>
          <w:p>
            <w:r/>
            <w:r>
              <w:rPr>
                <w:b/>
                <w:color w:val="FFFFFF"/>
                <w:sz w:val="16"/>
              </w:rPr>
              <w:t>Comment</w:t>
            </w:r>
          </w:p>
        </w:tc>
      </w:tr>
      <w:tr>
        <w:tc>
          <w:tcPr>
            <w:tcW w:type="dxa" w:w="2268"/>
          </w:tcPr>
          <w:p>
            <w:r/>
            <w:r>
              <w:rPr>
                <w:sz w:val="16"/>
              </w:rPr>
              <w:t>Realisation basis election</w:t>
            </w:r>
          </w:p>
        </w:tc>
        <w:tc>
          <w:tcPr>
            <w:tcW w:type="dxa" w:w="2494"/>
          </w:tcPr>
          <w:p>
            <w:r/>
            <w:r>
              <w:rPr>
                <w:sz w:val="16"/>
              </w:rPr>
              <w:t>Not elected - current basis (Option 3)</w:t>
            </w:r>
          </w:p>
        </w:tc>
        <w:tc>
          <w:tcPr>
            <w:tcW w:type="dxa" w:w="5102"/>
          </w:tcPr>
          <w:p>
            <w:r/>
            <w:r>
              <w:rPr>
                <w:sz w:val="16"/>
              </w:rPr>
              <w:t>Applied only as stated; never elected automatically.</w:t>
            </w:r>
          </w:p>
        </w:tc>
      </w:tr>
      <w:tr>
        <w:tc>
          <w:tcPr>
            <w:tcW w:type="dxa" w:w="2268"/>
          </w:tcPr>
          <w:p>
            <w:r/>
            <w:r>
              <w:rPr>
                <w:sz w:val="16"/>
              </w:rPr>
              <w:t>Small Business Relief</w:t>
            </w:r>
          </w:p>
        </w:tc>
        <w:tc>
          <w:tcPr>
            <w:tcW w:type="dxa" w:w="2494"/>
          </w:tcPr>
          <w:p>
            <w:r/>
            <w:r>
              <w:rPr>
                <w:sz w:val="16"/>
              </w:rPr>
              <w:t>Not indicated on the data provided</w:t>
            </w:r>
          </w:p>
        </w:tc>
        <w:tc>
          <w:tcPr>
            <w:tcW w:type="dxa" w:w="5102"/>
          </w:tcPr>
          <w:p>
            <w:r/>
            <w:r>
              <w:rPr>
                <w:sz w:val="16"/>
              </w:rPr>
              <w:t>Current-period revenue AED 19,500,000 exceeds AED 3,000,000. Revenue is taken from the 'Revenue' lines only; other income of AED 555,000 (dividends, interest, gains) is excluded - confirm what counts as revenue for this test.</w:t>
            </w:r>
          </w:p>
        </w:tc>
      </w:tr>
      <w:tr>
        <w:tc>
          <w:tcPr>
            <w:tcW w:type="dxa" w:w="2268"/>
          </w:tcPr>
          <w:p>
            <w:r/>
            <w:r>
              <w:rPr>
                <w:sz w:val="16"/>
              </w:rPr>
              <w:t>QFZP</w:t>
            </w:r>
          </w:p>
        </w:tc>
        <w:tc>
          <w:tcPr>
            <w:tcW w:type="dxa" w:w="2494"/>
          </w:tcPr>
          <w:p>
            <w:r/>
            <w:r>
              <w:rPr>
                <w:sz w:val="16"/>
              </w:rPr>
              <w:t>Unknown</w:t>
            </w:r>
          </w:p>
        </w:tc>
        <w:tc>
          <w:tcPr>
            <w:tcW w:type="dxa" w:w="5102"/>
          </w:tcPr>
          <w:p>
            <w:r/>
            <w:r>
              <w:rPr>
                <w:sz w:val="16"/>
              </w:rPr>
              <w:t>Not claimed.</w:t>
            </w:r>
          </w:p>
        </w:tc>
      </w:tr>
      <w:tr>
        <w:tc>
          <w:tcPr>
            <w:tcW w:type="dxa" w:w="2268"/>
          </w:tcPr>
          <w:p>
            <w:r/>
            <w:r>
              <w:rPr>
                <w:sz w:val="16"/>
              </w:rPr>
              <w:t>Interest limitation</w:t>
            </w:r>
          </w:p>
        </w:tc>
        <w:tc>
          <w:tcPr>
            <w:tcW w:type="dxa" w:w="2494"/>
          </w:tcPr>
          <w:p>
            <w:r/>
            <w:r>
              <w:rPr>
                <w:sz w:val="16"/>
              </w:rPr>
              <w:t>Within limit</w:t>
            </w:r>
          </w:p>
        </w:tc>
        <w:tc>
          <w:tcPr>
            <w:tcW w:type="dxa" w:w="5102"/>
          </w:tcPr>
          <w:p>
            <w:r/>
            <w:r>
              <w:rPr>
                <w:sz w:val="16"/>
              </w:rPr>
              <w:t>Net interest AED 115,000 vs. threshold AED 12,000,000 (tax EBITDA is approximated).</w:t>
            </w:r>
          </w:p>
        </w:tc>
      </w:tr>
      <w:tr>
        <w:tc>
          <w:tcPr>
            <w:tcW w:type="dxa" w:w="2268"/>
          </w:tcPr>
          <w:p>
            <w:r/>
            <w:r>
              <w:rPr>
                <w:sz w:val="16"/>
              </w:rPr>
              <w:t>Tax losses</w:t>
            </w:r>
          </w:p>
        </w:tc>
        <w:tc>
          <w:tcPr>
            <w:tcW w:type="dxa" w:w="2494"/>
          </w:tcPr>
          <w:p>
            <w:r/>
            <w:r>
              <w:rPr>
                <w:sz w:val="16"/>
              </w:rPr>
              <w:t>Brought forward AED 0</w:t>
            </w:r>
          </w:p>
        </w:tc>
        <w:tc>
          <w:tcPr>
            <w:tcW w:type="dxa" w:w="5102"/>
          </w:tcPr>
          <w:p>
            <w:r/>
            <w:r>
              <w:rPr>
                <w:sz w:val="16"/>
              </w:rPr>
              <w:t>Opening losses are per management and not verified against prior returns.</w:t>
            </w:r>
          </w:p>
        </w:tc>
      </w:tr>
      <w:tr>
        <w:tc>
          <w:tcPr>
            <w:tcW w:type="dxa" w:w="2268"/>
          </w:tcPr>
          <w:p>
            <w:r/>
            <w:r>
              <w:rPr>
                <w:sz w:val="16"/>
              </w:rPr>
              <w:t>Foreign tax credit</w:t>
            </w:r>
          </w:p>
        </w:tc>
        <w:tc>
          <w:tcPr>
            <w:tcW w:type="dxa" w:w="2494"/>
          </w:tcPr>
          <w:p>
            <w:r/>
            <w:r>
              <w:rPr>
                <w:sz w:val="16"/>
              </w:rPr>
              <w:t>AED 0 claimed</w:t>
            </w:r>
          </w:p>
        </w:tc>
        <w:tc>
          <w:tcPr>
            <w:tcW w:type="dxa" w:w="5102"/>
          </w:tcPr>
          <w:p>
            <w:r/>
            <w:r>
              <w:rPr>
                <w:sz w:val="16"/>
              </w:rPr>
              <w:t>Requires proof of payment and confirmation that the income is not exempt in the UAE.</w:t>
            </w:r>
          </w:p>
        </w:tc>
      </w:tr>
    </w:tbl>
    <w:p>
      <w:pPr>
        <w:spacing w:after="40"/>
      </w:pPr>
    </w:p>
    <w:p>
      <w:pPr>
        <w:pStyle w:val="Heading3"/>
      </w:pPr>
      <w:r>
        <w:t>Realisation-basis scenarios (what-if only)</w:t>
      </w:r>
    </w:p>
    <w:tbl>
      <w:tblPr>
        <w:tblStyle w:val="TableGrid"/>
        <w:tblW w:type="auto" w:w="0"/>
        <w:jc w:val="center"/>
        <w:tblLayout w:type="fixed"/>
        <w:tblLook w:firstColumn="1" w:firstRow="1" w:lastColumn="0" w:lastRow="0" w:noHBand="0" w:noVBand="1" w:val="04A0"/>
      </w:tblPr>
      <w:tblGrid>
        <w:gridCol w:w="4252"/>
        <w:gridCol w:w="2835"/>
        <w:gridCol w:w="2778"/>
      </w:tblGrid>
      <w:tr>
        <w:trPr>
          <w:tblHeader w:val="true"/>
        </w:trPr>
        <w:tc>
          <w:tcPr>
            <w:tcW w:type="dxa" w:w="4252"/>
            <w:shd w:val="clear" w:color="auto" w:fill="283A4A"/>
          </w:tcPr>
          <w:p>
            <w:r/>
            <w:r>
              <w:rPr>
                <w:b/>
                <w:color w:val="FFFFFF"/>
                <w:sz w:val="16"/>
              </w:rPr>
              <w:t>Option</w:t>
            </w:r>
          </w:p>
        </w:tc>
        <w:tc>
          <w:tcPr>
            <w:tcW w:type="dxa" w:w="2835"/>
            <w:shd w:val="clear" w:color="auto" w:fill="283A4A"/>
          </w:tcPr>
          <w:p>
            <w:r/>
            <w:r>
              <w:rPr>
                <w:b/>
                <w:color w:val="FFFFFF"/>
                <w:sz w:val="16"/>
              </w:rPr>
              <w:t>Taxable income (AED)</w:t>
            </w:r>
          </w:p>
        </w:tc>
        <w:tc>
          <w:tcPr>
            <w:tcW w:type="dxa" w:w="2778"/>
            <w:shd w:val="clear" w:color="auto" w:fill="283A4A"/>
          </w:tcPr>
          <w:p>
            <w:r/>
            <w:r>
              <w:rPr>
                <w:b/>
                <w:color w:val="FFFFFF"/>
                <w:sz w:val="16"/>
              </w:rPr>
              <w:t>Tax payable (AED)</w:t>
            </w:r>
          </w:p>
        </w:tc>
      </w:tr>
      <w:tr>
        <w:tc>
          <w:tcPr>
            <w:tcW w:type="dxa" w:w="4252"/>
          </w:tcPr>
          <w:p>
            <w:r/>
            <w:r>
              <w:rPr>
                <w:sz w:val="16"/>
              </w:rPr>
              <w:t>Option 1 - scope A</w:t>
            </w:r>
          </w:p>
        </w:tc>
        <w:tc>
          <w:tcPr>
            <w:tcW w:type="dxa" w:w="2835"/>
          </w:tcPr>
          <w:p>
            <w:pPr>
              <w:jc w:val="right"/>
            </w:pPr>
            <w:r/>
            <w:r>
              <w:rPr>
                <w:sz w:val="16"/>
              </w:rPr>
              <w:t>2,965,000</w:t>
            </w:r>
          </w:p>
        </w:tc>
        <w:tc>
          <w:tcPr>
            <w:tcW w:type="dxa" w:w="2778"/>
          </w:tcPr>
          <w:p>
            <w:pPr>
              <w:jc w:val="right"/>
            </w:pPr>
            <w:r/>
            <w:r>
              <w:rPr>
                <w:sz w:val="16"/>
              </w:rPr>
              <w:t>233,100</w:t>
            </w:r>
          </w:p>
        </w:tc>
      </w:tr>
      <w:tr>
        <w:tc>
          <w:tcPr>
            <w:tcW w:type="dxa" w:w="4252"/>
          </w:tcPr>
          <w:p>
            <w:r/>
            <w:r>
              <w:rPr>
                <w:sz w:val="16"/>
              </w:rPr>
              <w:t>Option 2 - scope B</w:t>
            </w:r>
          </w:p>
        </w:tc>
        <w:tc>
          <w:tcPr>
            <w:tcW w:type="dxa" w:w="2835"/>
          </w:tcPr>
          <w:p>
            <w:pPr>
              <w:jc w:val="right"/>
            </w:pPr>
            <w:r/>
            <w:r>
              <w:rPr>
                <w:sz w:val="16"/>
              </w:rPr>
              <w:t>2,870,000</w:t>
            </w:r>
          </w:p>
        </w:tc>
        <w:tc>
          <w:tcPr>
            <w:tcW w:type="dxa" w:w="2778"/>
          </w:tcPr>
          <w:p>
            <w:pPr>
              <w:jc w:val="right"/>
            </w:pPr>
            <w:r/>
            <w:r>
              <w:rPr>
                <w:sz w:val="16"/>
              </w:rPr>
              <w:t>224,550</w:t>
            </w:r>
          </w:p>
        </w:tc>
      </w:tr>
      <w:tr>
        <w:tc>
          <w:tcPr>
            <w:tcW w:type="dxa" w:w="4252"/>
          </w:tcPr>
          <w:p>
            <w:r/>
            <w:r>
              <w:rPr>
                <w:sz w:val="16"/>
              </w:rPr>
              <w:t>Option 3 - current basis</w:t>
            </w:r>
          </w:p>
        </w:tc>
        <w:tc>
          <w:tcPr>
            <w:tcW w:type="dxa" w:w="2835"/>
          </w:tcPr>
          <w:p>
            <w:pPr>
              <w:jc w:val="right"/>
            </w:pPr>
            <w:r/>
            <w:r>
              <w:rPr>
                <w:sz w:val="16"/>
              </w:rPr>
              <w:t>2,990,000</w:t>
            </w:r>
          </w:p>
        </w:tc>
        <w:tc>
          <w:tcPr>
            <w:tcW w:type="dxa" w:w="2778"/>
          </w:tcPr>
          <w:p>
            <w:pPr>
              <w:jc w:val="right"/>
            </w:pPr>
            <w:r/>
            <w:r>
              <w:rPr>
                <w:sz w:val="16"/>
              </w:rPr>
              <w:t>235,350</w:t>
            </w:r>
          </w:p>
        </w:tc>
      </w:tr>
    </w:tbl>
    <w:p>
      <w:pPr>
        <w:spacing w:after="40"/>
      </w:pPr>
    </w:p>
    <w:p>
      <w:pPr>
        <w:spacing w:after="80"/>
      </w:pPr>
      <w:r>
        <w:rPr>
          <w:b w:val="0"/>
          <w:i/>
          <w:color w:val="595959"/>
          <w:sz w:val="17"/>
        </w:rPr>
        <w:t>The election is made once, in the first tax period, and is irrevocable without FTA approval. This comparison is not a recommendation.</w:t>
      </w:r>
    </w:p>
    <w:p>
      <w:pPr>
        <w:pStyle w:val="Heading1"/>
      </w:pPr>
      <w:r>
        <w:t>9. High-risk accounts and transactions</w:t>
      </w:r>
    </w:p>
    <w:tbl>
      <w:tblPr>
        <w:tblStyle w:val="TableGrid"/>
        <w:tblW w:type="auto" w:w="0"/>
        <w:jc w:val="center"/>
        <w:tblLayout w:type="fixed"/>
        <w:tblLook w:firstColumn="1" w:firstRow="1" w:lastColumn="0" w:lastRow="0" w:noHBand="0" w:noVBand="1" w:val="04A0"/>
      </w:tblPr>
      <w:tblGrid>
        <w:gridCol w:w="680"/>
        <w:gridCol w:w="1814"/>
        <w:gridCol w:w="1077"/>
        <w:gridCol w:w="794"/>
        <w:gridCol w:w="2835"/>
        <w:gridCol w:w="1701"/>
        <w:gridCol w:w="964"/>
      </w:tblGrid>
      <w:tr>
        <w:trPr>
          <w:tblHeader w:val="true"/>
        </w:trPr>
        <w:tc>
          <w:tcPr>
            <w:tcW w:type="dxa" w:w="680"/>
            <w:shd w:val="clear" w:color="auto" w:fill="283A4A"/>
          </w:tcPr>
          <w:p>
            <w:r/>
            <w:r>
              <w:rPr>
                <w:b/>
                <w:color w:val="FFFFFF"/>
                <w:sz w:val="14"/>
              </w:rPr>
              <w:t>Code</w:t>
            </w:r>
          </w:p>
        </w:tc>
        <w:tc>
          <w:tcPr>
            <w:tcW w:type="dxa" w:w="1814"/>
            <w:shd w:val="clear" w:color="auto" w:fill="283A4A"/>
          </w:tcPr>
          <w:p>
            <w:r/>
            <w:r>
              <w:rPr>
                <w:b/>
                <w:color w:val="FFFFFF"/>
                <w:sz w:val="14"/>
              </w:rPr>
              <w:t>Account</w:t>
            </w:r>
          </w:p>
        </w:tc>
        <w:tc>
          <w:tcPr>
            <w:tcW w:type="dxa" w:w="1077"/>
            <w:shd w:val="clear" w:color="auto" w:fill="283A4A"/>
          </w:tcPr>
          <w:p>
            <w:r/>
            <w:r>
              <w:rPr>
                <w:b/>
                <w:color w:val="FFFFFF"/>
                <w:sz w:val="14"/>
              </w:rPr>
              <w:t>AED</w:t>
            </w:r>
          </w:p>
        </w:tc>
        <w:tc>
          <w:tcPr>
            <w:tcW w:type="dxa" w:w="794"/>
            <w:shd w:val="clear" w:color="auto" w:fill="283A4A"/>
          </w:tcPr>
          <w:p>
            <w:r/>
            <w:r>
              <w:rPr>
                <w:b/>
                <w:color w:val="FFFFFF"/>
                <w:sz w:val="14"/>
              </w:rPr>
              <w:t>Risk</w:t>
            </w:r>
          </w:p>
        </w:tc>
        <w:tc>
          <w:tcPr>
            <w:tcW w:type="dxa" w:w="2835"/>
            <w:shd w:val="clear" w:color="auto" w:fill="283A4A"/>
          </w:tcPr>
          <w:p>
            <w:r/>
            <w:r>
              <w:rPr>
                <w:b/>
                <w:color w:val="FFFFFF"/>
                <w:sz w:val="14"/>
              </w:rPr>
              <w:t>Observation / possible implication</w:t>
            </w:r>
          </w:p>
        </w:tc>
        <w:tc>
          <w:tcPr>
            <w:tcW w:type="dxa" w:w="1701"/>
            <w:shd w:val="clear" w:color="auto" w:fill="283A4A"/>
          </w:tcPr>
          <w:p>
            <w:r/>
            <w:r>
              <w:rPr>
                <w:b/>
                <w:color w:val="FFFFFF"/>
                <w:sz w:val="14"/>
              </w:rPr>
              <w:t>Documents required</w:t>
            </w:r>
          </w:p>
        </w:tc>
        <w:tc>
          <w:tcPr>
            <w:tcW w:type="dxa" w:w="964"/>
            <w:shd w:val="clear" w:color="auto" w:fill="283A4A"/>
          </w:tcPr>
          <w:p>
            <w:r/>
            <w:r>
              <w:rPr>
                <w:b/>
                <w:color w:val="FFFFFF"/>
                <w:sz w:val="14"/>
              </w:rPr>
              <w:t>Mgmt response</w:t>
            </w:r>
          </w:p>
        </w:tc>
      </w:tr>
      <w:tr>
        <w:tc>
          <w:tcPr>
            <w:tcW w:type="dxa" w:w="680"/>
          </w:tcPr>
          <w:p>
            <w:r/>
            <w:r>
              <w:rPr>
                <w:sz w:val="14"/>
              </w:rPr>
              <w:t>2200</w:t>
            </w:r>
          </w:p>
        </w:tc>
        <w:tc>
          <w:tcPr>
            <w:tcW w:type="dxa" w:w="1814"/>
          </w:tcPr>
          <w:p>
            <w:r/>
            <w:r>
              <w:rPr>
                <w:sz w:val="14"/>
              </w:rPr>
              <w:t>Loan from shareholder - Marjan Holdings LLC</w:t>
            </w:r>
          </w:p>
        </w:tc>
        <w:tc>
          <w:tcPr>
            <w:tcW w:type="dxa" w:w="1077"/>
          </w:tcPr>
          <w:p>
            <w:pPr>
              <w:jc w:val="right"/>
            </w:pPr>
            <w:r/>
            <w:r>
              <w:rPr>
                <w:sz w:val="14"/>
              </w:rPr>
              <w:t>(1,800,000)</w:t>
            </w:r>
          </w:p>
        </w:tc>
        <w:tc>
          <w:tcPr>
            <w:tcW w:type="dxa" w:w="794"/>
            <w:shd w:val="clear" w:color="auto" w:fill="F8CBAD"/>
          </w:tcPr>
          <w:p>
            <w:r/>
            <w:r>
              <w:rPr>
                <w:b/>
                <w:sz w:val="14"/>
              </w:rPr>
              <w:t>High</w:t>
            </w:r>
          </w:p>
        </w:tc>
        <w:tc>
          <w:tcPr>
            <w:tcW w:type="dxa" w:w="2835"/>
          </w:tcPr>
          <w:p>
            <w:r/>
            <w:r>
              <w:rPr>
                <w:sz w:val="14"/>
              </w:rPr>
              <w:t>Related-party balances / transactions: Transactions with Related Parties and Connected Persons must be at arm's length; non-arm's-length amounts are adjusted. Disclosure and transfer-pricing documentation obligations may apply.</w:t>
            </w:r>
          </w:p>
        </w:tc>
        <w:tc>
          <w:tcPr>
            <w:tcW w:type="dxa" w:w="1701"/>
          </w:tcPr>
          <w:p>
            <w:r/>
            <w:r>
              <w:rPr>
                <w:sz w:val="14"/>
              </w:rPr>
              <w:t>List of related parties; Agreements and pricing support; Transfer-pricing documentation if required</w:t>
            </w:r>
          </w:p>
        </w:tc>
        <w:tc>
          <w:tcPr>
            <w:tcW w:type="dxa" w:w="964"/>
          </w:tcPr>
          <w:p>
            <w:r/>
            <w:r>
              <w:rPr>
                <w:sz w:val="14"/>
              </w:rPr>
              <w:t>-</w:t>
            </w:r>
          </w:p>
        </w:tc>
      </w:tr>
      <w:tr>
        <w:tc>
          <w:tcPr>
            <w:tcW w:type="dxa" w:w="680"/>
          </w:tcPr>
          <w:p>
            <w:r/>
            <w:r>
              <w:rPr>
                <w:sz w:val="14"/>
              </w:rPr>
              <w:t>1200</w:t>
            </w:r>
          </w:p>
        </w:tc>
        <w:tc>
          <w:tcPr>
            <w:tcW w:type="dxa" w:w="1814"/>
          </w:tcPr>
          <w:p>
            <w:r/>
            <w:r>
              <w:rPr>
                <w:sz w:val="14"/>
              </w:rPr>
              <w:t>Due from related party - Marjan Holdings LLC</w:t>
            </w:r>
          </w:p>
        </w:tc>
        <w:tc>
          <w:tcPr>
            <w:tcW w:type="dxa" w:w="1077"/>
          </w:tcPr>
          <w:p>
            <w:pPr>
              <w:jc w:val="right"/>
            </w:pPr>
            <w:r/>
            <w:r>
              <w:rPr>
                <w:sz w:val="14"/>
              </w:rPr>
              <w:t>750,000</w:t>
            </w:r>
          </w:p>
        </w:tc>
        <w:tc>
          <w:tcPr>
            <w:tcW w:type="dxa" w:w="794"/>
            <w:shd w:val="clear" w:color="auto" w:fill="F8CBAD"/>
          </w:tcPr>
          <w:p>
            <w:r/>
            <w:r>
              <w:rPr>
                <w:b/>
                <w:sz w:val="14"/>
              </w:rPr>
              <w:t>High</w:t>
            </w:r>
          </w:p>
        </w:tc>
        <w:tc>
          <w:tcPr>
            <w:tcW w:type="dxa" w:w="2835"/>
          </w:tcPr>
          <w:p>
            <w:r/>
            <w:r>
              <w:rPr>
                <w:sz w:val="14"/>
              </w:rPr>
              <w:t>Related-party balances / transactions: Transactions with Related Parties and Connected Persons must be at arm's length; non-arm's-length amounts are adjusted. Disclosure and transfer-pricing documentation obligations may apply.</w:t>
            </w:r>
          </w:p>
        </w:tc>
        <w:tc>
          <w:tcPr>
            <w:tcW w:type="dxa" w:w="1701"/>
          </w:tcPr>
          <w:p>
            <w:r/>
            <w:r>
              <w:rPr>
                <w:sz w:val="14"/>
              </w:rPr>
              <w:t>List of related parties; Agreements and pricing support; Transfer-pricing documentation if required</w:t>
            </w:r>
          </w:p>
        </w:tc>
        <w:tc>
          <w:tcPr>
            <w:tcW w:type="dxa" w:w="964"/>
          </w:tcPr>
          <w:p>
            <w:r/>
            <w:r>
              <w:rPr>
                <w:sz w:val="14"/>
              </w:rPr>
              <w:t>-</w:t>
            </w:r>
          </w:p>
        </w:tc>
      </w:tr>
      <w:tr>
        <w:tc>
          <w:tcPr>
            <w:tcW w:type="dxa" w:w="680"/>
          </w:tcPr>
          <w:p>
            <w:r/>
            <w:r>
              <w:rPr>
                <w:sz w:val="14"/>
              </w:rPr>
              <w:t>4200</w:t>
            </w:r>
          </w:p>
        </w:tc>
        <w:tc>
          <w:tcPr>
            <w:tcW w:type="dxa" w:w="1814"/>
          </w:tcPr>
          <w:p>
            <w:r/>
            <w:r>
              <w:rPr>
                <w:sz w:val="14"/>
              </w:rPr>
              <w:t>Dividend income - Marjan Logistics FZE</w:t>
            </w:r>
          </w:p>
        </w:tc>
        <w:tc>
          <w:tcPr>
            <w:tcW w:type="dxa" w:w="1077"/>
          </w:tcPr>
          <w:p>
            <w:pPr>
              <w:jc w:val="right"/>
            </w:pPr>
            <w:r/>
            <w:r>
              <w:rPr>
                <w:sz w:val="14"/>
              </w:rPr>
              <w:t>(400,000)</w:t>
            </w:r>
          </w:p>
        </w:tc>
        <w:tc>
          <w:tcPr>
            <w:tcW w:type="dxa" w:w="794"/>
            <w:shd w:val="clear" w:color="auto" w:fill="F8CBAD"/>
          </w:tcPr>
          <w:p>
            <w:r/>
            <w:r>
              <w:rPr>
                <w:b/>
                <w:sz w:val="14"/>
              </w:rPr>
              <w:t>High</w:t>
            </w:r>
          </w:p>
        </w:tc>
        <w:tc>
          <w:tcPr>
            <w:tcW w:type="dxa" w:w="2835"/>
          </w:tcPr>
          <w:p>
            <w:r/>
            <w:r>
              <w:rPr>
                <w:sz w:val="14"/>
              </w:rPr>
              <w:t>Dividends and gains on shares (possible exempt income): May qualify as exempt income (dividends from resident persons; participation exemption) or as Qualifying Income of a QFZP - only if all conditions are met. Related expenses are not deductible.</w:t>
            </w:r>
          </w:p>
        </w:tc>
        <w:tc>
          <w:tcPr>
            <w:tcW w:type="dxa" w:w="1701"/>
          </w:tcPr>
          <w:p>
            <w:r/>
            <w:r>
              <w:rPr>
                <w:sz w:val="14"/>
              </w:rPr>
              <w:t>Investee name, jurisdiction and % held; Date and cost of acquisition; Subject-to-tax confirmation; Dividend vouchers / disposal agreements</w:t>
            </w:r>
          </w:p>
        </w:tc>
        <w:tc>
          <w:tcPr>
            <w:tcW w:type="dxa" w:w="964"/>
          </w:tcPr>
          <w:p>
            <w:r/>
            <w:r>
              <w:rPr>
                <w:sz w:val="14"/>
              </w:rPr>
              <w:t>-</w:t>
            </w:r>
          </w:p>
        </w:tc>
      </w:tr>
      <w:tr>
        <w:tc>
          <w:tcPr>
            <w:tcW w:type="dxa" w:w="680"/>
          </w:tcPr>
          <w:p>
            <w:r/>
            <w:r>
              <w:rPr>
                <w:sz w:val="14"/>
              </w:rPr>
              <w:t>2400</w:t>
            </w:r>
          </w:p>
        </w:tc>
        <w:tc>
          <w:tcPr>
            <w:tcW w:type="dxa" w:w="1814"/>
          </w:tcPr>
          <w:p>
            <w:r/>
            <w:r>
              <w:rPr>
                <w:sz w:val="14"/>
              </w:rPr>
              <w:t>Provision for employees' end of service benefits</w:t>
            </w:r>
          </w:p>
        </w:tc>
        <w:tc>
          <w:tcPr>
            <w:tcW w:type="dxa" w:w="1077"/>
          </w:tcPr>
          <w:p>
            <w:pPr>
              <w:jc w:val="right"/>
            </w:pPr>
            <w:r/>
            <w:r>
              <w:rPr>
                <w:sz w:val="14"/>
              </w:rPr>
              <w:t>(310,000)</w:t>
            </w:r>
          </w:p>
        </w:tc>
        <w:tc>
          <w:tcPr>
            <w:tcW w:type="dxa" w:w="794"/>
            <w:shd w:val="clear" w:color="auto" w:fill="F8CBAD"/>
          </w:tcPr>
          <w:p>
            <w:r/>
            <w:r>
              <w:rPr>
                <w:b/>
                <w:sz w:val="14"/>
              </w:rPr>
              <w:t>High</w:t>
            </w:r>
          </w:p>
        </w:tc>
        <w:tc>
          <w:tcPr>
            <w:tcW w:type="dxa" w:w="2835"/>
          </w:tcPr>
          <w:p>
            <w:r/>
            <w:r>
              <w:rPr>
                <w:sz w:val="14"/>
              </w:rPr>
              <w:t>Provisions, impairments and bad debts: Treatment depends on the realisation-basis election and the nature of the provision; unsupported provisions may be restricted.</w:t>
            </w:r>
          </w:p>
        </w:tc>
        <w:tc>
          <w:tcPr>
            <w:tcW w:type="dxa" w:w="1701"/>
          </w:tcPr>
          <w:p>
            <w:r/>
            <w:r>
              <w:rPr>
                <w:sz w:val="14"/>
              </w:rPr>
              <w:t>Provision movement schedule; Basis of estimate; Evidence for write-offs</w:t>
            </w:r>
          </w:p>
        </w:tc>
        <w:tc>
          <w:tcPr>
            <w:tcW w:type="dxa" w:w="964"/>
          </w:tcPr>
          <w:p>
            <w:r/>
            <w:r>
              <w:rPr>
                <w:sz w:val="14"/>
              </w:rPr>
              <w:t>-</w:t>
            </w:r>
          </w:p>
        </w:tc>
      </w:tr>
      <w:tr>
        <w:tc>
          <w:tcPr>
            <w:tcW w:type="dxa" w:w="680"/>
          </w:tcPr>
          <w:p>
            <w:r/>
            <w:r>
              <w:rPr>
                <w:sz w:val="14"/>
              </w:rPr>
              <w:t>6120</w:t>
            </w:r>
          </w:p>
        </w:tc>
        <w:tc>
          <w:tcPr>
            <w:tcW w:type="dxa" w:w="1814"/>
          </w:tcPr>
          <w:p>
            <w:r/>
            <w:r>
              <w:rPr>
                <w:sz w:val="14"/>
              </w:rPr>
              <w:t>Management fee - Marjan Holdings LLC</w:t>
            </w:r>
          </w:p>
        </w:tc>
        <w:tc>
          <w:tcPr>
            <w:tcW w:type="dxa" w:w="1077"/>
          </w:tcPr>
          <w:p>
            <w:pPr>
              <w:jc w:val="right"/>
            </w:pPr>
            <w:r/>
            <w:r>
              <w:rPr>
                <w:sz w:val="14"/>
              </w:rPr>
              <w:t>300,000</w:t>
            </w:r>
          </w:p>
        </w:tc>
        <w:tc>
          <w:tcPr>
            <w:tcW w:type="dxa" w:w="794"/>
            <w:shd w:val="clear" w:color="auto" w:fill="F8CBAD"/>
          </w:tcPr>
          <w:p>
            <w:r/>
            <w:r>
              <w:rPr>
                <w:b/>
                <w:sz w:val="14"/>
              </w:rPr>
              <w:t>High</w:t>
            </w:r>
          </w:p>
        </w:tc>
        <w:tc>
          <w:tcPr>
            <w:tcW w:type="dxa" w:w="2835"/>
          </w:tcPr>
          <w:p>
            <w:r/>
            <w:r>
              <w:rPr>
                <w:sz w:val="14"/>
              </w:rPr>
              <w:t>Related-party balances / transactions: Transactions with Related Parties and Connected Persons must be at arm's length; non-arm's-length amounts are adjusted. Disclosure and transfer-pricing documentation obligations may apply.</w:t>
            </w:r>
          </w:p>
        </w:tc>
        <w:tc>
          <w:tcPr>
            <w:tcW w:type="dxa" w:w="1701"/>
          </w:tcPr>
          <w:p>
            <w:r/>
            <w:r>
              <w:rPr>
                <w:sz w:val="14"/>
              </w:rPr>
              <w:t>List of related parties; Agreements and pricing support; Transfer-pricing documentation if required</w:t>
            </w:r>
          </w:p>
        </w:tc>
        <w:tc>
          <w:tcPr>
            <w:tcW w:type="dxa" w:w="964"/>
          </w:tcPr>
          <w:p>
            <w:r/>
            <w:r>
              <w:rPr>
                <w:sz w:val="14"/>
              </w:rPr>
              <w:t>-</w:t>
            </w:r>
          </w:p>
        </w:tc>
      </w:tr>
      <w:tr>
        <w:tc>
          <w:tcPr>
            <w:tcW w:type="dxa" w:w="680"/>
          </w:tcPr>
          <w:p>
            <w:r/>
            <w:r>
              <w:rPr>
                <w:sz w:val="14"/>
              </w:rPr>
              <w:t>6020</w:t>
            </w:r>
          </w:p>
        </w:tc>
        <w:tc>
          <w:tcPr>
            <w:tcW w:type="dxa" w:w="1814"/>
          </w:tcPr>
          <w:p>
            <w:r/>
            <w:r>
              <w:rPr>
                <w:sz w:val="14"/>
              </w:rPr>
              <w:t>Client entertainment and hospitality</w:t>
            </w:r>
          </w:p>
        </w:tc>
        <w:tc>
          <w:tcPr>
            <w:tcW w:type="dxa" w:w="1077"/>
          </w:tcPr>
          <w:p>
            <w:pPr>
              <w:jc w:val="right"/>
            </w:pPr>
            <w:r/>
            <w:r>
              <w:rPr>
                <w:sz w:val="14"/>
              </w:rPr>
              <w:t>140,000</w:t>
            </w:r>
          </w:p>
        </w:tc>
        <w:tc>
          <w:tcPr>
            <w:tcW w:type="dxa" w:w="794"/>
            <w:shd w:val="clear" w:color="auto" w:fill="F8CBAD"/>
          </w:tcPr>
          <w:p>
            <w:r/>
            <w:r>
              <w:rPr>
                <w:b/>
                <w:sz w:val="14"/>
              </w:rPr>
              <w:t>High</w:t>
            </w:r>
          </w:p>
        </w:tc>
        <w:tc>
          <w:tcPr>
            <w:tcW w:type="dxa" w:w="2835"/>
          </w:tcPr>
          <w:p>
            <w:r/>
            <w:r>
              <w:rPr>
                <w:sz w:val="14"/>
              </w:rPr>
              <w:t>Entertainment / hospitality: Entertainment, amusement and recreation provided to customers, shareholders, suppliers or business partners is generally restricted to 50% deductibility; staff-only entertainment may be treated differently.</w:t>
            </w:r>
          </w:p>
        </w:tc>
        <w:tc>
          <w:tcPr>
            <w:tcW w:type="dxa" w:w="1701"/>
          </w:tcPr>
          <w:p>
            <w:r/>
            <w:r>
              <w:rPr>
                <w:sz w:val="14"/>
              </w:rPr>
              <w:t>Invoices and proof of payment; Attendee list and business purpose; Split between staff and external guests</w:t>
            </w:r>
          </w:p>
        </w:tc>
        <w:tc>
          <w:tcPr>
            <w:tcW w:type="dxa" w:w="964"/>
          </w:tcPr>
          <w:p>
            <w:r/>
            <w:r>
              <w:rPr>
                <w:sz w:val="14"/>
              </w:rPr>
              <w:t>-</w:t>
            </w:r>
          </w:p>
        </w:tc>
      </w:tr>
      <w:tr>
        <w:tc>
          <w:tcPr>
            <w:tcW w:type="dxa" w:w="680"/>
          </w:tcPr>
          <w:p>
            <w:r/>
            <w:r>
              <w:rPr>
                <w:sz w:val="14"/>
              </w:rPr>
              <w:t>4300</w:t>
            </w:r>
          </w:p>
        </w:tc>
        <w:tc>
          <w:tcPr>
            <w:tcW w:type="dxa" w:w="1814"/>
          </w:tcPr>
          <w:p>
            <w:r/>
            <w:r>
              <w:rPr>
                <w:sz w:val="14"/>
              </w:rPr>
              <w:t>Unrealised gain on fair value of investments</w:t>
            </w:r>
          </w:p>
        </w:tc>
        <w:tc>
          <w:tcPr>
            <w:tcW w:type="dxa" w:w="1077"/>
          </w:tcPr>
          <w:p>
            <w:pPr>
              <w:jc w:val="right"/>
            </w:pPr>
            <w:r/>
            <w:r>
              <w:rPr>
                <w:sz w:val="14"/>
              </w:rPr>
              <w:t>(120,000)</w:t>
            </w:r>
          </w:p>
        </w:tc>
        <w:tc>
          <w:tcPr>
            <w:tcW w:type="dxa" w:w="794"/>
            <w:shd w:val="clear" w:color="auto" w:fill="F8CBAD"/>
          </w:tcPr>
          <w:p>
            <w:r/>
            <w:r>
              <w:rPr>
                <w:b/>
                <w:sz w:val="14"/>
              </w:rPr>
              <w:t>High</w:t>
            </w:r>
          </w:p>
        </w:tc>
        <w:tc>
          <w:tcPr>
            <w:tcW w:type="dxa" w:w="2835"/>
          </w:tcPr>
          <w:p>
            <w:r/>
            <w:r>
              <w:rPr>
                <w:sz w:val="14"/>
              </w:rPr>
              <w:t>Fair value / unrealised movements: Unrealised gains/losses are taxable by default; with a valid realisation-basis election only realised amounts are taxed (scope depends on the election). Items must be classified as capital or revenue.</w:t>
            </w:r>
          </w:p>
        </w:tc>
        <w:tc>
          <w:tcPr>
            <w:tcW w:type="dxa" w:w="1701"/>
          </w:tcPr>
          <w:p>
            <w:r/>
            <w:r>
              <w:rPr>
                <w:sz w:val="14"/>
              </w:rPr>
              <w:t>Copy of the realisation-basis election and first-period return; Opening and closing fair values by investment; Capital vs revenue classification</w:t>
            </w:r>
          </w:p>
        </w:tc>
        <w:tc>
          <w:tcPr>
            <w:tcW w:type="dxa" w:w="964"/>
          </w:tcPr>
          <w:p>
            <w:r/>
            <w:r>
              <w:rPr>
                <w:sz w:val="14"/>
              </w:rPr>
              <w:t>-</w:t>
            </w:r>
          </w:p>
        </w:tc>
      </w:tr>
      <w:tr>
        <w:tc>
          <w:tcPr>
            <w:tcW w:type="dxa" w:w="680"/>
          </w:tcPr>
          <w:p>
            <w:r/>
            <w:r>
              <w:rPr>
                <w:sz w:val="14"/>
              </w:rPr>
              <w:t>6030</w:t>
            </w:r>
          </w:p>
        </w:tc>
        <w:tc>
          <w:tcPr>
            <w:tcW w:type="dxa" w:w="1814"/>
          </w:tcPr>
          <w:p>
            <w:r/>
            <w:r>
              <w:rPr>
                <w:sz w:val="14"/>
              </w:rPr>
              <w:t>Donations</w:t>
            </w:r>
          </w:p>
        </w:tc>
        <w:tc>
          <w:tcPr>
            <w:tcW w:type="dxa" w:w="1077"/>
          </w:tcPr>
          <w:p>
            <w:pPr>
              <w:jc w:val="right"/>
            </w:pPr>
            <w:r/>
            <w:r>
              <w:rPr>
                <w:sz w:val="14"/>
              </w:rPr>
              <w:t>75,000</w:t>
            </w:r>
          </w:p>
        </w:tc>
        <w:tc>
          <w:tcPr>
            <w:tcW w:type="dxa" w:w="794"/>
            <w:shd w:val="clear" w:color="auto" w:fill="F8CBAD"/>
          </w:tcPr>
          <w:p>
            <w:r/>
            <w:r>
              <w:rPr>
                <w:b/>
                <w:sz w:val="14"/>
              </w:rPr>
              <w:t>High</w:t>
            </w:r>
          </w:p>
        </w:tc>
        <w:tc>
          <w:tcPr>
            <w:tcW w:type="dxa" w:w="2835"/>
          </w:tcPr>
          <w:p>
            <w:r/>
            <w:r>
              <w:rPr>
                <w:sz w:val="14"/>
              </w:rPr>
              <w:t>Donations / charitable: Donations are deductible only where made to a Qualifying Public Benefit Entity; otherwise non-deductible.</w:t>
            </w:r>
          </w:p>
        </w:tc>
        <w:tc>
          <w:tcPr>
            <w:tcW w:type="dxa" w:w="1701"/>
          </w:tcPr>
          <w:p>
            <w:r/>
            <w:r>
              <w:rPr>
                <w:sz w:val="14"/>
              </w:rPr>
              <w:t>Recipient name and proof of Qualifying Public Benefit Entity status; Receipts</w:t>
            </w:r>
          </w:p>
        </w:tc>
        <w:tc>
          <w:tcPr>
            <w:tcW w:type="dxa" w:w="964"/>
          </w:tcPr>
          <w:p>
            <w:r/>
            <w:r>
              <w:rPr>
                <w:sz w:val="14"/>
              </w:rPr>
              <w:t>-</w:t>
            </w:r>
          </w:p>
        </w:tc>
      </w:tr>
      <w:tr>
        <w:tc>
          <w:tcPr>
            <w:tcW w:type="dxa" w:w="680"/>
          </w:tcPr>
          <w:p>
            <w:r/>
            <w:r>
              <w:rPr>
                <w:sz w:val="14"/>
              </w:rPr>
              <w:t>6140</w:t>
            </w:r>
          </w:p>
        </w:tc>
        <w:tc>
          <w:tcPr>
            <w:tcW w:type="dxa" w:w="1814"/>
          </w:tcPr>
          <w:p>
            <w:r/>
            <w:r>
              <w:rPr>
                <w:sz w:val="14"/>
              </w:rPr>
              <w:t>Director personal expenses</w:t>
            </w:r>
          </w:p>
        </w:tc>
        <w:tc>
          <w:tcPr>
            <w:tcW w:type="dxa" w:w="1077"/>
          </w:tcPr>
          <w:p>
            <w:pPr>
              <w:jc w:val="right"/>
            </w:pPr>
            <w:r/>
            <w:r>
              <w:rPr>
                <w:sz w:val="14"/>
              </w:rPr>
              <w:t>42,000</w:t>
            </w:r>
          </w:p>
        </w:tc>
        <w:tc>
          <w:tcPr>
            <w:tcW w:type="dxa" w:w="794"/>
            <w:shd w:val="clear" w:color="auto" w:fill="F8CBAD"/>
          </w:tcPr>
          <w:p>
            <w:r/>
            <w:r>
              <w:rPr>
                <w:b/>
                <w:sz w:val="14"/>
              </w:rPr>
              <w:t>High</w:t>
            </w:r>
          </w:p>
        </w:tc>
        <w:tc>
          <w:tcPr>
            <w:tcW w:type="dxa" w:w="2835"/>
          </w:tcPr>
          <w:p>
            <w:r/>
            <w:r>
              <w:rPr>
                <w:sz w:val="14"/>
              </w:rPr>
              <w:t>Personal / owner expenses: Expenditure not incurred wholly and exclusively for the business, and amounts withdrawn by owners, are generally non-deductible.</w:t>
            </w:r>
          </w:p>
        </w:tc>
        <w:tc>
          <w:tcPr>
            <w:tcW w:type="dxa" w:w="1701"/>
          </w:tcPr>
          <w:p>
            <w:r/>
            <w:r>
              <w:rPr>
                <w:sz w:val="14"/>
              </w:rPr>
              <w:t>Business purpose for each item; Supporting invoices; Owner/shareholder confirmation</w:t>
            </w:r>
          </w:p>
        </w:tc>
        <w:tc>
          <w:tcPr>
            <w:tcW w:type="dxa" w:w="964"/>
          </w:tcPr>
          <w:p>
            <w:r/>
            <w:r>
              <w:rPr>
                <w:sz w:val="14"/>
              </w:rPr>
              <w:t>-</w:t>
            </w:r>
          </w:p>
        </w:tc>
      </w:tr>
      <w:tr>
        <w:tc>
          <w:tcPr>
            <w:tcW w:type="dxa" w:w="680"/>
          </w:tcPr>
          <w:p>
            <w:r/>
            <w:r>
              <w:rPr>
                <w:sz w:val="14"/>
              </w:rPr>
              <w:t>6040</w:t>
            </w:r>
          </w:p>
        </w:tc>
        <w:tc>
          <w:tcPr>
            <w:tcW w:type="dxa" w:w="1814"/>
          </w:tcPr>
          <w:p>
            <w:r/>
            <w:r>
              <w:rPr>
                <w:sz w:val="14"/>
              </w:rPr>
              <w:t>Fines and penalties</w:t>
            </w:r>
          </w:p>
        </w:tc>
        <w:tc>
          <w:tcPr>
            <w:tcW w:type="dxa" w:w="1077"/>
          </w:tcPr>
          <w:p>
            <w:pPr>
              <w:jc w:val="right"/>
            </w:pPr>
            <w:r/>
            <w:r>
              <w:rPr>
                <w:sz w:val="14"/>
              </w:rPr>
              <w:t>28,000</w:t>
            </w:r>
          </w:p>
        </w:tc>
        <w:tc>
          <w:tcPr>
            <w:tcW w:type="dxa" w:w="794"/>
            <w:shd w:val="clear" w:color="auto" w:fill="F8CBAD"/>
          </w:tcPr>
          <w:p>
            <w:r/>
            <w:r>
              <w:rPr>
                <w:b/>
                <w:sz w:val="14"/>
              </w:rPr>
              <w:t>High</w:t>
            </w:r>
          </w:p>
        </w:tc>
        <w:tc>
          <w:tcPr>
            <w:tcW w:type="dxa" w:w="2835"/>
          </w:tcPr>
          <w:p>
            <w:r/>
            <w:r>
              <w:rPr>
                <w:sz w:val="14"/>
              </w:rPr>
              <w:t>Fines and penalties: Fines and penalties are generally non-deductible, other than amounts awarded as compensation for damages or breach of contract.</w:t>
            </w:r>
          </w:p>
        </w:tc>
        <w:tc>
          <w:tcPr>
            <w:tcW w:type="dxa" w:w="1701"/>
          </w:tcPr>
          <w:p>
            <w:r/>
            <w:r>
              <w:rPr>
                <w:sz w:val="14"/>
              </w:rPr>
              <w:t>Notice or order giving rise to each fine/penalty; Nature (regulatory vs contractual compensation)</w:t>
            </w:r>
          </w:p>
        </w:tc>
        <w:tc>
          <w:tcPr>
            <w:tcW w:type="dxa" w:w="964"/>
          </w:tcPr>
          <w:p>
            <w:r/>
            <w:r>
              <w:rPr>
                <w:sz w:val="14"/>
              </w:rPr>
              <w:t>-</w:t>
            </w:r>
          </w:p>
        </w:tc>
      </w:tr>
      <w:tr>
        <w:tc>
          <w:tcPr>
            <w:tcW w:type="dxa" w:w="680"/>
          </w:tcPr>
          <w:p>
            <w:r/>
            <w:r>
              <w:rPr>
                <w:sz w:val="14"/>
              </w:rPr>
              <w:t>6150</w:t>
            </w:r>
          </w:p>
        </w:tc>
        <w:tc>
          <w:tcPr>
            <w:tcW w:type="dxa" w:w="1814"/>
          </w:tcPr>
          <w:p>
            <w:r/>
            <w:r>
              <w:rPr>
                <w:sz w:val="14"/>
              </w:rPr>
              <w:t>Marketing and advertising</w:t>
            </w:r>
          </w:p>
        </w:tc>
        <w:tc>
          <w:tcPr>
            <w:tcW w:type="dxa" w:w="1077"/>
          </w:tcPr>
          <w:p>
            <w:pPr>
              <w:jc w:val="right"/>
            </w:pPr>
            <w:r/>
            <w:r>
              <w:rPr>
                <w:sz w:val="14"/>
              </w:rPr>
              <w:t>220,000</w:t>
            </w:r>
          </w:p>
        </w:tc>
        <w:tc>
          <w:tcPr>
            <w:tcW w:type="dxa" w:w="794"/>
            <w:shd w:val="clear" w:color="auto" w:fill="FFF2CC"/>
          </w:tcPr>
          <w:p>
            <w:r/>
            <w:r>
              <w:rPr>
                <w:b/>
                <w:sz w:val="14"/>
              </w:rPr>
              <w:t>Medium</w:t>
            </w:r>
          </w:p>
        </w:tc>
        <w:tc>
          <w:tcPr>
            <w:tcW w:type="dxa" w:w="2835"/>
          </w:tcPr>
          <w:p>
            <w:r/>
            <w:r>
              <w:rPr>
                <w:sz w:val="14"/>
              </w:rPr>
              <w:t>Commissions, incentives, promotion and marketing: Deductibility requires a business purpose and documents; payments to related parties, owners or for entertainment may be restricted.</w:t>
            </w:r>
          </w:p>
        </w:tc>
        <w:tc>
          <w:tcPr>
            <w:tcW w:type="dxa" w:w="1701"/>
          </w:tcPr>
          <w:p>
            <w:r/>
            <w:r>
              <w:rPr>
                <w:sz w:val="14"/>
              </w:rPr>
              <w:t>Agreements and commission calculations; Beneficiary list; Invoices</w:t>
            </w:r>
          </w:p>
        </w:tc>
        <w:tc>
          <w:tcPr>
            <w:tcW w:type="dxa" w:w="964"/>
          </w:tcPr>
          <w:p>
            <w:r/>
            <w:r>
              <w:rPr>
                <w:sz w:val="14"/>
              </w:rPr>
              <w:t>-</w:t>
            </w:r>
          </w:p>
        </w:tc>
      </w:tr>
      <w:tr>
        <w:tc>
          <w:tcPr>
            <w:tcW w:type="dxa" w:w="680"/>
          </w:tcPr>
          <w:p>
            <w:r/>
            <w:r>
              <w:rPr>
                <w:sz w:val="14"/>
              </w:rPr>
              <w:t>1110</w:t>
            </w:r>
          </w:p>
        </w:tc>
        <w:tc>
          <w:tcPr>
            <w:tcW w:type="dxa" w:w="1814"/>
          </w:tcPr>
          <w:p>
            <w:r/>
            <w:r>
              <w:rPr>
                <w:sz w:val="14"/>
              </w:rPr>
              <w:t>Allowance for doubtful debts</w:t>
            </w:r>
          </w:p>
        </w:tc>
        <w:tc>
          <w:tcPr>
            <w:tcW w:type="dxa" w:w="1077"/>
          </w:tcPr>
          <w:p>
            <w:pPr>
              <w:jc w:val="right"/>
            </w:pPr>
            <w:r/>
            <w:r>
              <w:rPr>
                <w:sz w:val="14"/>
              </w:rPr>
              <w:t>(180,000)</w:t>
            </w:r>
          </w:p>
        </w:tc>
        <w:tc>
          <w:tcPr>
            <w:tcW w:type="dxa" w:w="794"/>
            <w:shd w:val="clear" w:color="auto" w:fill="FFF2CC"/>
          </w:tcPr>
          <w:p>
            <w:r/>
            <w:r>
              <w:rPr>
                <w:b/>
                <w:sz w:val="14"/>
              </w:rPr>
              <w:t>Medium</w:t>
            </w:r>
          </w:p>
        </w:tc>
        <w:tc>
          <w:tcPr>
            <w:tcW w:type="dxa" w:w="2835"/>
          </w:tcPr>
          <w:p>
            <w:r/>
            <w:r>
              <w:rPr>
                <w:sz w:val="14"/>
              </w:rPr>
              <w:t>Provisions, impairments and bad debts: Treatment depends on the realisation-basis election and the nature of the provision; unsupported provisions may be restricted.</w:t>
            </w:r>
          </w:p>
        </w:tc>
        <w:tc>
          <w:tcPr>
            <w:tcW w:type="dxa" w:w="1701"/>
          </w:tcPr>
          <w:p>
            <w:r/>
            <w:r>
              <w:rPr>
                <w:sz w:val="14"/>
              </w:rPr>
              <w:t>Provision movement schedule; Basis of estimate; Evidence for write-offs</w:t>
            </w:r>
          </w:p>
        </w:tc>
        <w:tc>
          <w:tcPr>
            <w:tcW w:type="dxa" w:w="964"/>
          </w:tcPr>
          <w:p>
            <w:r/>
            <w:r>
              <w:rPr>
                <w:sz w:val="14"/>
              </w:rPr>
              <w:t>-</w:t>
            </w:r>
          </w:p>
        </w:tc>
      </w:tr>
      <w:tr>
        <w:tc>
          <w:tcPr>
            <w:tcW w:type="dxa" w:w="680"/>
          </w:tcPr>
          <w:p>
            <w:r/>
            <w:r>
              <w:rPr>
                <w:sz w:val="14"/>
              </w:rPr>
              <w:t>6050</w:t>
            </w:r>
          </w:p>
        </w:tc>
        <w:tc>
          <w:tcPr>
            <w:tcW w:type="dxa" w:w="1814"/>
          </w:tcPr>
          <w:p>
            <w:r/>
            <w:r>
              <w:rPr>
                <w:sz w:val="14"/>
              </w:rPr>
              <w:t>Professional and legal fees</w:t>
            </w:r>
          </w:p>
        </w:tc>
        <w:tc>
          <w:tcPr>
            <w:tcW w:type="dxa" w:w="1077"/>
          </w:tcPr>
          <w:p>
            <w:pPr>
              <w:jc w:val="right"/>
            </w:pPr>
            <w:r/>
            <w:r>
              <w:rPr>
                <w:sz w:val="14"/>
              </w:rPr>
              <w:t>160,000</w:t>
            </w:r>
          </w:p>
        </w:tc>
        <w:tc>
          <w:tcPr>
            <w:tcW w:type="dxa" w:w="794"/>
            <w:shd w:val="clear" w:color="auto" w:fill="FFF2CC"/>
          </w:tcPr>
          <w:p>
            <w:r/>
            <w:r>
              <w:rPr>
                <w:b/>
                <w:sz w:val="14"/>
              </w:rPr>
              <w:t>Medium</w:t>
            </w:r>
          </w:p>
        </w:tc>
        <w:tc>
          <w:tcPr>
            <w:tcW w:type="dxa" w:w="2835"/>
          </w:tcPr>
          <w:p>
            <w:r/>
            <w:r>
              <w:rPr>
                <w:sz w:val="14"/>
              </w:rPr>
              <w:t>Legal, professional and consultancy fees: Check business purpose, capital nature (e.g. acquisition/structuring costs), related-party payees and arm's-length pricing.</w:t>
            </w:r>
          </w:p>
        </w:tc>
        <w:tc>
          <w:tcPr>
            <w:tcW w:type="dxa" w:w="1701"/>
          </w:tcPr>
          <w:p>
            <w:r/>
            <w:r>
              <w:rPr>
                <w:sz w:val="14"/>
              </w:rPr>
              <w:t>Engagement letters / contracts; Invoices; Identity and relationship of payee</w:t>
            </w:r>
          </w:p>
        </w:tc>
        <w:tc>
          <w:tcPr>
            <w:tcW w:type="dxa" w:w="964"/>
          </w:tcPr>
          <w:p>
            <w:r/>
            <w:r>
              <w:rPr>
                <w:sz w:val="14"/>
              </w:rPr>
              <w:t>-</w:t>
            </w:r>
          </w:p>
        </w:tc>
      </w:tr>
      <w:tr>
        <w:tc>
          <w:tcPr>
            <w:tcW w:type="dxa" w:w="680"/>
          </w:tcPr>
          <w:p>
            <w:r/>
            <w:r>
              <w:rPr>
                <w:sz w:val="14"/>
              </w:rPr>
              <w:t>6090</w:t>
            </w:r>
          </w:p>
        </w:tc>
        <w:tc>
          <w:tcPr>
            <w:tcW w:type="dxa" w:w="1814"/>
          </w:tcPr>
          <w:p>
            <w:r/>
            <w:r>
              <w:rPr>
                <w:sz w:val="14"/>
              </w:rPr>
              <w:t>Impairment of trade receivables - provision for doubtful debts</w:t>
            </w:r>
          </w:p>
        </w:tc>
        <w:tc>
          <w:tcPr>
            <w:tcW w:type="dxa" w:w="1077"/>
          </w:tcPr>
          <w:p>
            <w:pPr>
              <w:jc w:val="right"/>
            </w:pPr>
            <w:r/>
            <w:r>
              <w:rPr>
                <w:sz w:val="14"/>
              </w:rPr>
              <w:t>95,000</w:t>
            </w:r>
          </w:p>
        </w:tc>
        <w:tc>
          <w:tcPr>
            <w:tcW w:type="dxa" w:w="794"/>
            <w:shd w:val="clear" w:color="auto" w:fill="FFF2CC"/>
          </w:tcPr>
          <w:p>
            <w:r/>
            <w:r>
              <w:rPr>
                <w:b/>
                <w:sz w:val="14"/>
              </w:rPr>
              <w:t>Medium</w:t>
            </w:r>
          </w:p>
        </w:tc>
        <w:tc>
          <w:tcPr>
            <w:tcW w:type="dxa" w:w="2835"/>
          </w:tcPr>
          <w:p>
            <w:r/>
            <w:r>
              <w:rPr>
                <w:sz w:val="14"/>
              </w:rPr>
              <w:t>Provisions, impairments and bad debts: Treatment depends on the realisation-basis election and the nature of the provision; unsupported provisions may be restricted.</w:t>
            </w:r>
          </w:p>
        </w:tc>
        <w:tc>
          <w:tcPr>
            <w:tcW w:type="dxa" w:w="1701"/>
          </w:tcPr>
          <w:p>
            <w:r/>
            <w:r>
              <w:rPr>
                <w:sz w:val="14"/>
              </w:rPr>
              <w:t>Provision movement schedule; Basis of estimate; Evidence for write-offs</w:t>
            </w:r>
          </w:p>
        </w:tc>
        <w:tc>
          <w:tcPr>
            <w:tcW w:type="dxa" w:w="964"/>
          </w:tcPr>
          <w:p>
            <w:r/>
            <w:r>
              <w:rPr>
                <w:sz w:val="14"/>
              </w:rPr>
              <w:t>-</w:t>
            </w:r>
          </w:p>
        </w:tc>
      </w:tr>
      <w:tr>
        <w:tc>
          <w:tcPr>
            <w:tcW w:type="dxa" w:w="680"/>
          </w:tcPr>
          <w:p>
            <w:r/>
            <w:r>
              <w:rPr>
                <w:sz w:val="14"/>
              </w:rPr>
              <w:t>6070</w:t>
            </w:r>
          </w:p>
        </w:tc>
        <w:tc>
          <w:tcPr>
            <w:tcW w:type="dxa" w:w="1814"/>
          </w:tcPr>
          <w:p>
            <w:r/>
            <w:r>
              <w:rPr>
                <w:sz w:val="14"/>
              </w:rPr>
              <w:t>Interest expense - shareholder loan</w:t>
            </w:r>
          </w:p>
        </w:tc>
        <w:tc>
          <w:tcPr>
            <w:tcW w:type="dxa" w:w="1077"/>
          </w:tcPr>
          <w:p>
            <w:pPr>
              <w:jc w:val="right"/>
            </w:pPr>
            <w:r/>
            <w:r>
              <w:rPr>
                <w:sz w:val="14"/>
              </w:rPr>
              <w:t>90,000</w:t>
            </w:r>
          </w:p>
        </w:tc>
        <w:tc>
          <w:tcPr>
            <w:tcW w:type="dxa" w:w="794"/>
            <w:shd w:val="clear" w:color="auto" w:fill="FFF2CC"/>
          </w:tcPr>
          <w:p>
            <w:r/>
            <w:r>
              <w:rPr>
                <w:b/>
                <w:sz w:val="14"/>
              </w:rPr>
              <w:t>Medium</w:t>
            </w:r>
          </w:p>
        </w:tc>
        <w:tc>
          <w:tcPr>
            <w:tcW w:type="dxa" w:w="2835"/>
          </w:tcPr>
          <w:p>
            <w:r/>
            <w:r>
              <w:rPr>
                <w:sz w:val="14"/>
              </w:rPr>
              <w:t>Interest and finance costs: Net interest is subject to the general interest deduction limitation; related-party and shareholder loans carry additional restrictions; check interest on loans used for exempt income.</w:t>
            </w:r>
          </w:p>
        </w:tc>
        <w:tc>
          <w:tcPr>
            <w:tcW w:type="dxa" w:w="1701"/>
          </w:tcPr>
          <w:p>
            <w:r/>
            <w:r>
              <w:rPr>
                <w:sz w:val="14"/>
              </w:rPr>
              <w:t>Loan agreements; Lender identity and relationship; Interest computation</w:t>
            </w:r>
          </w:p>
        </w:tc>
        <w:tc>
          <w:tcPr>
            <w:tcW w:type="dxa" w:w="964"/>
          </w:tcPr>
          <w:p>
            <w:r/>
            <w:r>
              <w:rPr>
                <w:sz w:val="14"/>
              </w:rPr>
              <w:t>-</w:t>
            </w:r>
          </w:p>
        </w:tc>
      </w:tr>
      <w:tr>
        <w:tc>
          <w:tcPr>
            <w:tcW w:type="dxa" w:w="680"/>
          </w:tcPr>
          <w:p>
            <w:r/>
            <w:r>
              <w:rPr>
                <w:sz w:val="14"/>
              </w:rPr>
              <w:t>6080</w:t>
            </w:r>
          </w:p>
        </w:tc>
        <w:tc>
          <w:tcPr>
            <w:tcW w:type="dxa" w:w="1814"/>
          </w:tcPr>
          <w:p>
            <w:r/>
            <w:r>
              <w:rPr>
                <w:sz w:val="14"/>
              </w:rPr>
              <w:t>Interest expense - bank term loan</w:t>
            </w:r>
          </w:p>
        </w:tc>
        <w:tc>
          <w:tcPr>
            <w:tcW w:type="dxa" w:w="1077"/>
          </w:tcPr>
          <w:p>
            <w:pPr>
              <w:jc w:val="right"/>
            </w:pPr>
            <w:r/>
            <w:r>
              <w:rPr>
                <w:sz w:val="14"/>
              </w:rPr>
              <w:t>60,000</w:t>
            </w:r>
          </w:p>
        </w:tc>
        <w:tc>
          <w:tcPr>
            <w:tcW w:type="dxa" w:w="794"/>
            <w:shd w:val="clear" w:color="auto" w:fill="FFF2CC"/>
          </w:tcPr>
          <w:p>
            <w:r/>
            <w:r>
              <w:rPr>
                <w:b/>
                <w:sz w:val="14"/>
              </w:rPr>
              <w:t>Medium</w:t>
            </w:r>
          </w:p>
        </w:tc>
        <w:tc>
          <w:tcPr>
            <w:tcW w:type="dxa" w:w="2835"/>
          </w:tcPr>
          <w:p>
            <w:r/>
            <w:r>
              <w:rPr>
                <w:sz w:val="14"/>
              </w:rPr>
              <w:t>Interest and finance costs: Net interest is subject to the general interest deduction limitation; related-party and shareholder loans carry additional restrictions; check interest on loans used for exempt income.</w:t>
            </w:r>
          </w:p>
        </w:tc>
        <w:tc>
          <w:tcPr>
            <w:tcW w:type="dxa" w:w="1701"/>
          </w:tcPr>
          <w:p>
            <w:r/>
            <w:r>
              <w:rPr>
                <w:sz w:val="14"/>
              </w:rPr>
              <w:t>Loan agreements; Lender identity and relationship; Interest computation</w:t>
            </w:r>
          </w:p>
        </w:tc>
        <w:tc>
          <w:tcPr>
            <w:tcW w:type="dxa" w:w="964"/>
          </w:tcPr>
          <w:p>
            <w:r/>
            <w:r>
              <w:rPr>
                <w:sz w:val="14"/>
              </w:rPr>
              <w:t>-</w:t>
            </w:r>
          </w:p>
        </w:tc>
      </w:tr>
    </w:tbl>
    <w:p>
      <w:pPr>
        <w:spacing w:after="40"/>
      </w:pPr>
    </w:p>
    <w:p>
      <w:pPr>
        <w:spacing w:after="80"/>
      </w:pPr>
      <w:r>
        <w:rPr>
          <w:b w:val="0"/>
          <w:i w:val="0"/>
          <w:sz w:val="18"/>
        </w:rPr>
        <w:t>3 low-risk indicator(s) are listed in the review workbook.</w:t>
      </w:r>
    </w:p>
    <w:p>
      <w:pPr>
        <w:pStyle w:val="Heading1"/>
      </w:pPr>
      <w:r>
        <w:t>10. Unusual or material GL entries</w:t>
      </w:r>
    </w:p>
    <w:p>
      <w:pPr>
        <w:spacing w:after="80"/>
      </w:pPr>
      <w:r>
        <w:rPr>
          <w:b w:val="0"/>
          <w:i w:val="0"/>
          <w:color w:val="C00000"/>
        </w:rPr>
        <w:t>No general ledger was supplied; transaction-level tests (round sums, vague narrations, year-end entries, related-party counterparties) were not performed.</w:t>
      </w:r>
    </w:p>
    <w:p>
      <w:pPr>
        <w:pStyle w:val="Heading1"/>
      </w:pPr>
      <w:r>
        <w:t>11. Missing documents and information</w:t>
      </w:r>
    </w:p>
    <w:tbl>
      <w:tblPr>
        <w:tblStyle w:val="TableGrid"/>
        <w:tblW w:type="auto" w:w="0"/>
        <w:jc w:val="center"/>
        <w:tblLayout w:type="fixed"/>
        <w:tblLook w:firstColumn="1" w:firstRow="1" w:lastColumn="0" w:lastRow="0" w:noHBand="0" w:noVBand="1" w:val="04A0"/>
      </w:tblPr>
      <w:tblGrid>
        <w:gridCol w:w="3402"/>
        <w:gridCol w:w="6463"/>
      </w:tblGrid>
      <w:tr>
        <w:trPr>
          <w:tblHeader w:val="true"/>
        </w:trPr>
        <w:tc>
          <w:tcPr>
            <w:tcW w:type="dxa" w:w="3402"/>
            <w:shd w:val="clear" w:color="auto" w:fill="283A4A"/>
          </w:tcPr>
          <w:p>
            <w:r/>
            <w:r>
              <w:rPr>
                <w:b/>
                <w:color w:val="FFFFFF"/>
                <w:sz w:val="15"/>
              </w:rPr>
              <w:t>Document / information</w:t>
            </w:r>
          </w:p>
        </w:tc>
        <w:tc>
          <w:tcPr>
            <w:tcW w:type="dxa" w:w="6463"/>
            <w:shd w:val="clear" w:color="auto" w:fill="283A4A"/>
          </w:tcPr>
          <w:p>
            <w:r/>
            <w:r>
              <w:rPr>
                <w:b/>
                <w:color w:val="FFFFFF"/>
                <w:sz w:val="15"/>
              </w:rPr>
              <w:t>Needed for</w:t>
            </w:r>
          </w:p>
        </w:tc>
      </w:tr>
      <w:tr>
        <w:tc>
          <w:tcPr>
            <w:tcW w:type="dxa" w:w="3402"/>
          </w:tcPr>
          <w:p>
            <w:r/>
            <w:r>
              <w:rPr>
                <w:sz w:val="15"/>
              </w:rPr>
              <w:t>Agreements and commission calculations</w:t>
            </w:r>
          </w:p>
        </w:tc>
        <w:tc>
          <w:tcPr>
            <w:tcW w:type="dxa" w:w="6463"/>
          </w:tcPr>
          <w:p>
            <w:r/>
            <w:r>
              <w:rPr>
                <w:sz w:val="15"/>
              </w:rPr>
              <w:t>6150 Marketing and advertising</w:t>
            </w:r>
          </w:p>
        </w:tc>
      </w:tr>
      <w:tr>
        <w:tc>
          <w:tcPr>
            <w:tcW w:type="dxa" w:w="3402"/>
          </w:tcPr>
          <w:p>
            <w:r/>
            <w:r>
              <w:rPr>
                <w:sz w:val="15"/>
              </w:rPr>
              <w:t>Agreements and pricing support</w:t>
            </w:r>
          </w:p>
        </w:tc>
        <w:tc>
          <w:tcPr>
            <w:tcW w:type="dxa" w:w="6463"/>
          </w:tcPr>
          <w:p>
            <w:r/>
            <w:r>
              <w:rPr>
                <w:sz w:val="15"/>
              </w:rPr>
              <w:t>1200 Due from related party - Marjan Holdings LLC; 2200 Loan from shareholder - Marjan Holdings LLC; 6120 Management fee - Marjan Holdings LLC</w:t>
            </w:r>
          </w:p>
        </w:tc>
      </w:tr>
      <w:tr>
        <w:tc>
          <w:tcPr>
            <w:tcW w:type="dxa" w:w="3402"/>
          </w:tcPr>
          <w:p>
            <w:r/>
            <w:r>
              <w:rPr>
                <w:sz w:val="15"/>
              </w:rPr>
              <w:t>Attendee list and business purpose</w:t>
            </w:r>
          </w:p>
        </w:tc>
        <w:tc>
          <w:tcPr>
            <w:tcW w:type="dxa" w:w="6463"/>
          </w:tcPr>
          <w:p>
            <w:r/>
            <w:r>
              <w:rPr>
                <w:sz w:val="15"/>
              </w:rPr>
              <w:t>6020 Client entertainment and hospitality</w:t>
            </w:r>
          </w:p>
        </w:tc>
      </w:tr>
      <w:tr>
        <w:tc>
          <w:tcPr>
            <w:tcW w:type="dxa" w:w="3402"/>
          </w:tcPr>
          <w:p>
            <w:r/>
            <w:r>
              <w:rPr>
                <w:sz w:val="15"/>
              </w:rPr>
              <w:t>Basis of estimate</w:t>
            </w:r>
          </w:p>
        </w:tc>
        <w:tc>
          <w:tcPr>
            <w:tcW w:type="dxa" w:w="6463"/>
          </w:tcPr>
          <w:p>
            <w:r/>
            <w:r>
              <w:rPr>
                <w:sz w:val="15"/>
              </w:rPr>
              <w:t>1110 Allowance for doubtful debts; 2400 Provision for employees' end of service benefits; 6090 Impairment of trade receivables - provision for doubtful debts</w:t>
            </w:r>
          </w:p>
        </w:tc>
      </w:tr>
      <w:tr>
        <w:tc>
          <w:tcPr>
            <w:tcW w:type="dxa" w:w="3402"/>
          </w:tcPr>
          <w:p>
            <w:r/>
            <w:r>
              <w:rPr>
                <w:sz w:val="15"/>
              </w:rPr>
              <w:t>Beneficiary list</w:t>
            </w:r>
          </w:p>
        </w:tc>
        <w:tc>
          <w:tcPr>
            <w:tcW w:type="dxa" w:w="6463"/>
          </w:tcPr>
          <w:p>
            <w:r/>
            <w:r>
              <w:rPr>
                <w:sz w:val="15"/>
              </w:rPr>
              <w:t>6150 Marketing and advertising</w:t>
            </w:r>
          </w:p>
        </w:tc>
      </w:tr>
      <w:tr>
        <w:tc>
          <w:tcPr>
            <w:tcW w:type="dxa" w:w="3402"/>
          </w:tcPr>
          <w:p>
            <w:r/>
            <w:r>
              <w:rPr>
                <w:sz w:val="15"/>
              </w:rPr>
              <w:t>Business purpose for each item</w:t>
            </w:r>
          </w:p>
        </w:tc>
        <w:tc>
          <w:tcPr>
            <w:tcW w:type="dxa" w:w="6463"/>
          </w:tcPr>
          <w:p>
            <w:r/>
            <w:r>
              <w:rPr>
                <w:sz w:val="15"/>
              </w:rPr>
              <w:t>6140 Director personal expenses</w:t>
            </w:r>
          </w:p>
        </w:tc>
      </w:tr>
      <w:tr>
        <w:tc>
          <w:tcPr>
            <w:tcW w:type="dxa" w:w="3402"/>
          </w:tcPr>
          <w:p>
            <w:r/>
            <w:r>
              <w:rPr>
                <w:sz w:val="15"/>
              </w:rPr>
              <w:t>Capital vs revenue classification</w:t>
            </w:r>
          </w:p>
        </w:tc>
        <w:tc>
          <w:tcPr>
            <w:tcW w:type="dxa" w:w="6463"/>
          </w:tcPr>
          <w:p>
            <w:r/>
            <w:r>
              <w:rPr>
                <w:sz w:val="15"/>
              </w:rPr>
              <w:t>4300 Unrealised gain on fair value of investments</w:t>
            </w:r>
          </w:p>
        </w:tc>
      </w:tr>
      <w:tr>
        <w:tc>
          <w:tcPr>
            <w:tcW w:type="dxa" w:w="3402"/>
          </w:tcPr>
          <w:p>
            <w:r/>
            <w:r>
              <w:rPr>
                <w:sz w:val="15"/>
              </w:rPr>
              <w:t>Copy of the realisation-basis election and first-period return</w:t>
            </w:r>
          </w:p>
        </w:tc>
        <w:tc>
          <w:tcPr>
            <w:tcW w:type="dxa" w:w="6463"/>
          </w:tcPr>
          <w:p>
            <w:r/>
            <w:r>
              <w:rPr>
                <w:sz w:val="15"/>
              </w:rPr>
              <w:t>4300 Unrealised gain on fair value of investments</w:t>
            </w:r>
          </w:p>
        </w:tc>
      </w:tr>
      <w:tr>
        <w:tc>
          <w:tcPr>
            <w:tcW w:type="dxa" w:w="3402"/>
          </w:tcPr>
          <w:p>
            <w:r/>
            <w:r>
              <w:rPr>
                <w:sz w:val="15"/>
              </w:rPr>
              <w:t>Date and cost of acquisition</w:t>
            </w:r>
          </w:p>
        </w:tc>
        <w:tc>
          <w:tcPr>
            <w:tcW w:type="dxa" w:w="6463"/>
          </w:tcPr>
          <w:p>
            <w:r/>
            <w:r>
              <w:rPr>
                <w:sz w:val="15"/>
              </w:rPr>
              <w:t>4200 Dividend income - Marjan Logistics FZE</w:t>
            </w:r>
          </w:p>
        </w:tc>
      </w:tr>
      <w:tr>
        <w:tc>
          <w:tcPr>
            <w:tcW w:type="dxa" w:w="3402"/>
          </w:tcPr>
          <w:p>
            <w:r/>
            <w:r>
              <w:rPr>
                <w:sz w:val="15"/>
              </w:rPr>
              <w:t>Dividend voucher</w:t>
            </w:r>
          </w:p>
        </w:tc>
        <w:tc>
          <w:tcPr>
            <w:tcW w:type="dxa" w:w="6463"/>
          </w:tcPr>
          <w:p>
            <w:r/>
            <w:r>
              <w:rPr>
                <w:sz w:val="15"/>
              </w:rPr>
              <w:t>4200 Dividend income - Marjan Logistics FZE</w:t>
            </w:r>
          </w:p>
        </w:tc>
      </w:tr>
      <w:tr>
        <w:tc>
          <w:tcPr>
            <w:tcW w:type="dxa" w:w="3402"/>
          </w:tcPr>
          <w:p>
            <w:r/>
            <w:r>
              <w:rPr>
                <w:sz w:val="15"/>
              </w:rPr>
              <w:t>Dividend vouchers / disposal agreements</w:t>
            </w:r>
          </w:p>
        </w:tc>
        <w:tc>
          <w:tcPr>
            <w:tcW w:type="dxa" w:w="6463"/>
          </w:tcPr>
          <w:p>
            <w:r/>
            <w:r>
              <w:rPr>
                <w:sz w:val="15"/>
              </w:rPr>
              <w:t>4200 Dividend income - Marjan Logistics FZE</w:t>
            </w:r>
          </w:p>
        </w:tc>
      </w:tr>
      <w:tr>
        <w:tc>
          <w:tcPr>
            <w:tcW w:type="dxa" w:w="3402"/>
          </w:tcPr>
          <w:p>
            <w:r/>
            <w:r>
              <w:rPr>
                <w:sz w:val="15"/>
              </w:rPr>
              <w:t>Engagement letters / contracts</w:t>
            </w:r>
          </w:p>
        </w:tc>
        <w:tc>
          <w:tcPr>
            <w:tcW w:type="dxa" w:w="6463"/>
          </w:tcPr>
          <w:p>
            <w:r/>
            <w:r>
              <w:rPr>
                <w:sz w:val="15"/>
              </w:rPr>
              <w:t>6050 Professional and legal fees</w:t>
            </w:r>
          </w:p>
        </w:tc>
      </w:tr>
      <w:tr>
        <w:tc>
          <w:tcPr>
            <w:tcW w:type="dxa" w:w="3402"/>
          </w:tcPr>
          <w:p>
            <w:r/>
            <w:r>
              <w:rPr>
                <w:sz w:val="15"/>
              </w:rPr>
              <w:t>Evidence for write-offs</w:t>
            </w:r>
          </w:p>
        </w:tc>
        <w:tc>
          <w:tcPr>
            <w:tcW w:type="dxa" w:w="6463"/>
          </w:tcPr>
          <w:p>
            <w:r/>
            <w:r>
              <w:rPr>
                <w:sz w:val="15"/>
              </w:rPr>
              <w:t>1110 Allowance for doubtful debts; 2400 Provision for employees' end of service benefits; 6090 Impairment of trade receivables - provision for doubtful debts</w:t>
            </w:r>
          </w:p>
        </w:tc>
      </w:tr>
      <w:tr>
        <w:tc>
          <w:tcPr>
            <w:tcW w:type="dxa" w:w="3402"/>
          </w:tcPr>
          <w:p>
            <w:r/>
            <w:r>
              <w:rPr>
                <w:sz w:val="15"/>
              </w:rPr>
              <w:t>FX on loans / interest</w:t>
            </w:r>
          </w:p>
        </w:tc>
        <w:tc>
          <w:tcPr>
            <w:tcW w:type="dxa" w:w="6463"/>
          </w:tcPr>
          <w:p>
            <w:r/>
            <w:r>
              <w:rPr>
                <w:sz w:val="15"/>
              </w:rPr>
              <w:t>4500 Foreign exchange gain; 6130 Foreign exchange loss</w:t>
            </w:r>
          </w:p>
        </w:tc>
      </w:tr>
      <w:tr>
        <w:tc>
          <w:tcPr>
            <w:tcW w:type="dxa" w:w="3402"/>
          </w:tcPr>
          <w:p>
            <w:r/>
            <w:r>
              <w:rPr>
                <w:sz w:val="15"/>
              </w:rPr>
              <w:t>Funding and cost analysis</w:t>
            </w:r>
          </w:p>
        </w:tc>
        <w:tc>
          <w:tcPr>
            <w:tcW w:type="dxa" w:w="6463"/>
          </w:tcPr>
          <w:p>
            <w:r/>
            <w:r>
              <w:rPr>
                <w:sz w:val="15"/>
              </w:rPr>
              <w:t>Exempt income</w:t>
            </w:r>
          </w:p>
        </w:tc>
      </w:tr>
      <w:tr>
        <w:tc>
          <w:tcPr>
            <w:tcW w:type="dxa" w:w="3402"/>
          </w:tcPr>
          <w:p>
            <w:r/>
            <w:r>
              <w:rPr>
                <w:sz w:val="15"/>
              </w:rPr>
              <w:t>Identity and relationship of payee</w:t>
            </w:r>
          </w:p>
        </w:tc>
        <w:tc>
          <w:tcPr>
            <w:tcW w:type="dxa" w:w="6463"/>
          </w:tcPr>
          <w:p>
            <w:r/>
            <w:r>
              <w:rPr>
                <w:sz w:val="15"/>
              </w:rPr>
              <w:t>6050 Professional and legal fees</w:t>
            </w:r>
          </w:p>
        </w:tc>
      </w:tr>
      <w:tr>
        <w:tc>
          <w:tcPr>
            <w:tcW w:type="dxa" w:w="3402"/>
          </w:tcPr>
          <w:p>
            <w:r/>
            <w:r>
              <w:rPr>
                <w:sz w:val="15"/>
              </w:rPr>
              <w:t>Interest computation</w:t>
            </w:r>
          </w:p>
        </w:tc>
        <w:tc>
          <w:tcPr>
            <w:tcW w:type="dxa" w:w="6463"/>
          </w:tcPr>
          <w:p>
            <w:r/>
            <w:r>
              <w:rPr>
                <w:sz w:val="15"/>
              </w:rPr>
              <w:t>6070 Interest expense - shareholder loan; 6080 Interest expense - bank term loan</w:t>
            </w:r>
          </w:p>
        </w:tc>
      </w:tr>
      <w:tr>
        <w:tc>
          <w:tcPr>
            <w:tcW w:type="dxa" w:w="3402"/>
          </w:tcPr>
          <w:p>
            <w:r/>
            <w:r>
              <w:rPr>
                <w:sz w:val="15"/>
              </w:rPr>
              <w:t>Investee name, jurisdiction and % held</w:t>
            </w:r>
          </w:p>
        </w:tc>
        <w:tc>
          <w:tcPr>
            <w:tcW w:type="dxa" w:w="6463"/>
          </w:tcPr>
          <w:p>
            <w:r/>
            <w:r>
              <w:rPr>
                <w:sz w:val="15"/>
              </w:rPr>
              <w:t>4200 Dividend income - Marjan Logistics FZE</w:t>
            </w:r>
          </w:p>
        </w:tc>
      </w:tr>
      <w:tr>
        <w:tc>
          <w:tcPr>
            <w:tcW w:type="dxa" w:w="3402"/>
          </w:tcPr>
          <w:p>
            <w:r/>
            <w:r>
              <w:rPr>
                <w:sz w:val="15"/>
              </w:rPr>
              <w:t>Invoices</w:t>
            </w:r>
          </w:p>
        </w:tc>
        <w:tc>
          <w:tcPr>
            <w:tcW w:type="dxa" w:w="6463"/>
          </w:tcPr>
          <w:p>
            <w:r/>
            <w:r>
              <w:rPr>
                <w:sz w:val="15"/>
              </w:rPr>
              <w:t>6050 Professional and legal fees; 6150 Marketing and advertising</w:t>
            </w:r>
          </w:p>
        </w:tc>
      </w:tr>
      <w:tr>
        <w:tc>
          <w:tcPr>
            <w:tcW w:type="dxa" w:w="3402"/>
          </w:tcPr>
          <w:p>
            <w:r/>
            <w:r>
              <w:rPr>
                <w:sz w:val="15"/>
              </w:rPr>
              <w:t>Invoices and proof of payment</w:t>
            </w:r>
          </w:p>
        </w:tc>
        <w:tc>
          <w:tcPr>
            <w:tcW w:type="dxa" w:w="6463"/>
          </w:tcPr>
          <w:p>
            <w:r/>
            <w:r>
              <w:rPr>
                <w:sz w:val="15"/>
              </w:rPr>
              <w:t>6020 Client entertainment and hospitality</w:t>
            </w:r>
          </w:p>
        </w:tc>
      </w:tr>
      <w:tr>
        <w:tc>
          <w:tcPr>
            <w:tcW w:type="dxa" w:w="3402"/>
          </w:tcPr>
          <w:p>
            <w:r/>
            <w:r>
              <w:rPr>
                <w:sz w:val="15"/>
              </w:rPr>
              <w:t>Invoices for the largest items</w:t>
            </w:r>
          </w:p>
        </w:tc>
        <w:tc>
          <w:tcPr>
            <w:tcW w:type="dxa" w:w="6463"/>
          </w:tcPr>
          <w:p>
            <w:r/>
            <w:r>
              <w:rPr>
                <w:sz w:val="15"/>
              </w:rPr>
              <w:t>6100 Repairs and maintenance</w:t>
            </w:r>
          </w:p>
        </w:tc>
      </w:tr>
      <w:tr>
        <w:tc>
          <w:tcPr>
            <w:tcW w:type="dxa" w:w="3402"/>
          </w:tcPr>
          <w:p>
            <w:r/>
            <w:r>
              <w:rPr>
                <w:sz w:val="15"/>
              </w:rPr>
              <w:t>Lender identity and relationship</w:t>
            </w:r>
          </w:p>
        </w:tc>
        <w:tc>
          <w:tcPr>
            <w:tcW w:type="dxa" w:w="6463"/>
          </w:tcPr>
          <w:p>
            <w:r/>
            <w:r>
              <w:rPr>
                <w:sz w:val="15"/>
              </w:rPr>
              <w:t>6070 Interest expense - shareholder loan; 6080 Interest expense - bank term loan</w:t>
            </w:r>
          </w:p>
        </w:tc>
      </w:tr>
      <w:tr>
        <w:tc>
          <w:tcPr>
            <w:tcW w:type="dxa" w:w="3402"/>
          </w:tcPr>
          <w:p>
            <w:r/>
            <w:r>
              <w:rPr>
                <w:sz w:val="15"/>
              </w:rPr>
              <w:t>List of related parties</w:t>
            </w:r>
          </w:p>
        </w:tc>
        <w:tc>
          <w:tcPr>
            <w:tcW w:type="dxa" w:w="6463"/>
          </w:tcPr>
          <w:p>
            <w:r/>
            <w:r>
              <w:rPr>
                <w:sz w:val="15"/>
              </w:rPr>
              <w:t>1200 Due from related party - Marjan Holdings LLC; 2200 Loan from shareholder - Marjan Holdings LLC; 6120 Management fee - Marjan Holdings LLC</w:t>
            </w:r>
          </w:p>
        </w:tc>
      </w:tr>
      <w:tr>
        <w:tc>
          <w:tcPr>
            <w:tcW w:type="dxa" w:w="3402"/>
          </w:tcPr>
          <w:p>
            <w:r/>
            <w:r>
              <w:rPr>
                <w:sz w:val="15"/>
              </w:rPr>
              <w:t>Loan agreements</w:t>
            </w:r>
          </w:p>
        </w:tc>
        <w:tc>
          <w:tcPr>
            <w:tcW w:type="dxa" w:w="6463"/>
          </w:tcPr>
          <w:p>
            <w:r/>
            <w:r>
              <w:rPr>
                <w:sz w:val="15"/>
              </w:rPr>
              <w:t>6070 Interest expense - shareholder loan; 6080 Interest expense - bank term loan</w:t>
            </w:r>
          </w:p>
        </w:tc>
      </w:tr>
      <w:tr>
        <w:tc>
          <w:tcPr>
            <w:tcW w:type="dxa" w:w="3402"/>
          </w:tcPr>
          <w:p>
            <w:r/>
            <w:r>
              <w:rPr>
                <w:sz w:val="15"/>
              </w:rPr>
              <w:t>Nature (regulatory vs contractual compensation)</w:t>
            </w:r>
          </w:p>
        </w:tc>
        <w:tc>
          <w:tcPr>
            <w:tcW w:type="dxa" w:w="6463"/>
          </w:tcPr>
          <w:p>
            <w:r/>
            <w:r>
              <w:rPr>
                <w:sz w:val="15"/>
              </w:rPr>
              <w:t>6040 Fines and penalties</w:t>
            </w:r>
          </w:p>
        </w:tc>
      </w:tr>
      <w:tr>
        <w:tc>
          <w:tcPr>
            <w:tcW w:type="dxa" w:w="3402"/>
          </w:tcPr>
          <w:p>
            <w:r/>
            <w:r>
              <w:rPr>
                <w:sz w:val="15"/>
              </w:rPr>
              <w:t>Notice or order giving rise to each fine/penalty</w:t>
            </w:r>
          </w:p>
        </w:tc>
        <w:tc>
          <w:tcPr>
            <w:tcW w:type="dxa" w:w="6463"/>
          </w:tcPr>
          <w:p>
            <w:r/>
            <w:r>
              <w:rPr>
                <w:sz w:val="15"/>
              </w:rPr>
              <w:t>6040 Fines and penalties</w:t>
            </w:r>
          </w:p>
        </w:tc>
      </w:tr>
      <w:tr>
        <w:tc>
          <w:tcPr>
            <w:tcW w:type="dxa" w:w="3402"/>
          </w:tcPr>
          <w:p>
            <w:r/>
            <w:r>
              <w:rPr>
                <w:sz w:val="15"/>
              </w:rPr>
              <w:t>Opening and closing fair values by investment</w:t>
            </w:r>
          </w:p>
        </w:tc>
        <w:tc>
          <w:tcPr>
            <w:tcW w:type="dxa" w:w="6463"/>
          </w:tcPr>
          <w:p>
            <w:r/>
            <w:r>
              <w:rPr>
                <w:sz w:val="15"/>
              </w:rPr>
              <w:t>4300 Unrealised gain on fair value of investments</w:t>
            </w:r>
          </w:p>
        </w:tc>
      </w:tr>
      <w:tr>
        <w:tc>
          <w:tcPr>
            <w:tcW w:type="dxa" w:w="3402"/>
          </w:tcPr>
          <w:p>
            <w:r/>
            <w:r>
              <w:rPr>
                <w:sz w:val="15"/>
              </w:rPr>
              <w:t>Owner/shareholder confirmation</w:t>
            </w:r>
          </w:p>
        </w:tc>
        <w:tc>
          <w:tcPr>
            <w:tcW w:type="dxa" w:w="6463"/>
          </w:tcPr>
          <w:p>
            <w:r/>
            <w:r>
              <w:rPr>
                <w:sz w:val="15"/>
              </w:rPr>
              <w:t>6140 Director personal expenses</w:t>
            </w:r>
          </w:p>
        </w:tc>
      </w:tr>
      <w:tr>
        <w:tc>
          <w:tcPr>
            <w:tcW w:type="dxa" w:w="3402"/>
          </w:tcPr>
          <w:p>
            <w:r/>
            <w:r>
              <w:rPr>
                <w:sz w:val="15"/>
              </w:rPr>
              <w:t>Pricing support</w:t>
            </w:r>
          </w:p>
        </w:tc>
        <w:tc>
          <w:tcPr>
            <w:tcW w:type="dxa" w:w="6463"/>
          </w:tcPr>
          <w:p>
            <w:r/>
            <w:r>
              <w:rPr>
                <w:sz w:val="15"/>
              </w:rPr>
              <w:t>Related parties</w:t>
            </w:r>
          </w:p>
        </w:tc>
      </w:tr>
      <w:tr>
        <w:tc>
          <w:tcPr>
            <w:tcW w:type="dxa" w:w="3402"/>
          </w:tcPr>
          <w:p>
            <w:r/>
            <w:r>
              <w:rPr>
                <w:sz w:val="15"/>
              </w:rPr>
              <w:t>Provision movement schedule</w:t>
            </w:r>
          </w:p>
        </w:tc>
        <w:tc>
          <w:tcPr>
            <w:tcW w:type="dxa" w:w="6463"/>
          </w:tcPr>
          <w:p>
            <w:r/>
            <w:r>
              <w:rPr>
                <w:sz w:val="15"/>
              </w:rPr>
              <w:t>1110 Allowance for doubtful debts; 2400 Provision for employees' end of service benefits; 6090 Impairment of trade receivables - provision for doubtful debts</w:t>
            </w:r>
          </w:p>
        </w:tc>
      </w:tr>
      <w:tr>
        <w:tc>
          <w:tcPr>
            <w:tcW w:type="dxa" w:w="3402"/>
          </w:tcPr>
          <w:p>
            <w:r/>
            <w:r>
              <w:rPr>
                <w:sz w:val="15"/>
              </w:rPr>
              <w:t>Provision schedule</w:t>
            </w:r>
          </w:p>
        </w:tc>
        <w:tc>
          <w:tcPr>
            <w:tcW w:type="dxa" w:w="6463"/>
          </w:tcPr>
          <w:p>
            <w:r/>
            <w:r>
              <w:rPr>
                <w:sz w:val="15"/>
              </w:rPr>
              <w:t>Provisions</w:t>
            </w:r>
          </w:p>
        </w:tc>
      </w:tr>
      <w:tr>
        <w:tc>
          <w:tcPr>
            <w:tcW w:type="dxa" w:w="3402"/>
          </w:tcPr>
          <w:p>
            <w:r/>
            <w:r>
              <w:rPr>
                <w:sz w:val="15"/>
              </w:rPr>
              <w:t>Receipts</w:t>
            </w:r>
          </w:p>
        </w:tc>
        <w:tc>
          <w:tcPr>
            <w:tcW w:type="dxa" w:w="6463"/>
          </w:tcPr>
          <w:p>
            <w:r/>
            <w:r>
              <w:rPr>
                <w:sz w:val="15"/>
              </w:rPr>
              <w:t>6030 Donations</w:t>
            </w:r>
          </w:p>
        </w:tc>
      </w:tr>
      <w:tr>
        <w:tc>
          <w:tcPr>
            <w:tcW w:type="dxa" w:w="3402"/>
          </w:tcPr>
          <w:p>
            <w:r/>
            <w:r>
              <w:rPr>
                <w:sz w:val="15"/>
              </w:rPr>
              <w:t>Recipient name and proof of Qualifying Public Benefit Entity status</w:t>
            </w:r>
          </w:p>
        </w:tc>
        <w:tc>
          <w:tcPr>
            <w:tcW w:type="dxa" w:w="6463"/>
          </w:tcPr>
          <w:p>
            <w:r/>
            <w:r>
              <w:rPr>
                <w:sz w:val="15"/>
              </w:rPr>
              <w:t>6030 Donations</w:t>
            </w:r>
          </w:p>
        </w:tc>
      </w:tr>
      <w:tr>
        <w:tc>
          <w:tcPr>
            <w:tcW w:type="dxa" w:w="3402"/>
          </w:tcPr>
          <w:p>
            <w:r/>
            <w:r>
              <w:rPr>
                <w:sz w:val="15"/>
              </w:rPr>
              <w:t>Related-party list</w:t>
            </w:r>
          </w:p>
        </w:tc>
        <w:tc>
          <w:tcPr>
            <w:tcW w:type="dxa" w:w="6463"/>
          </w:tcPr>
          <w:p>
            <w:r/>
            <w:r>
              <w:rPr>
                <w:sz w:val="15"/>
              </w:rPr>
              <w:t>Related parties</w:t>
            </w:r>
          </w:p>
        </w:tc>
      </w:tr>
      <w:tr>
        <w:tc>
          <w:tcPr>
            <w:tcW w:type="dxa" w:w="3402"/>
          </w:tcPr>
          <w:p>
            <w:r/>
            <w:r>
              <w:rPr>
                <w:sz w:val="15"/>
              </w:rPr>
              <w:t>Split between staff and external guests</w:t>
            </w:r>
          </w:p>
        </w:tc>
        <w:tc>
          <w:tcPr>
            <w:tcW w:type="dxa" w:w="6463"/>
          </w:tcPr>
          <w:p>
            <w:r/>
            <w:r>
              <w:rPr>
                <w:sz w:val="15"/>
              </w:rPr>
              <w:t>6020 Client entertainment and hospitality</w:t>
            </w:r>
          </w:p>
        </w:tc>
      </w:tr>
      <w:tr>
        <w:tc>
          <w:tcPr>
            <w:tcW w:type="dxa" w:w="3402"/>
          </w:tcPr>
          <w:p>
            <w:r/>
            <w:r>
              <w:rPr>
                <w:sz w:val="15"/>
              </w:rPr>
              <w:t>Split of realised and unrealised FX</w:t>
            </w:r>
          </w:p>
        </w:tc>
        <w:tc>
          <w:tcPr>
            <w:tcW w:type="dxa" w:w="6463"/>
          </w:tcPr>
          <w:p>
            <w:r/>
            <w:r>
              <w:rPr>
                <w:sz w:val="15"/>
              </w:rPr>
              <w:t>4500 Foreign exchange gain; 6130 Foreign exchange loss</w:t>
            </w:r>
          </w:p>
        </w:tc>
      </w:tr>
      <w:tr>
        <w:tc>
          <w:tcPr>
            <w:tcW w:type="dxa" w:w="3402"/>
          </w:tcPr>
          <w:p>
            <w:r/>
            <w:r>
              <w:rPr>
                <w:sz w:val="15"/>
              </w:rPr>
              <w:t>Subject-to-tax confirmation</w:t>
            </w:r>
          </w:p>
        </w:tc>
        <w:tc>
          <w:tcPr>
            <w:tcW w:type="dxa" w:w="6463"/>
          </w:tcPr>
          <w:p>
            <w:r/>
            <w:r>
              <w:rPr>
                <w:sz w:val="15"/>
              </w:rPr>
              <w:t>4200 Dividend income - Marjan Logistics FZE</w:t>
            </w:r>
          </w:p>
        </w:tc>
      </w:tr>
      <w:tr>
        <w:tc>
          <w:tcPr>
            <w:tcW w:type="dxa" w:w="3402"/>
          </w:tcPr>
          <w:p>
            <w:r/>
            <w:r>
              <w:rPr>
                <w:sz w:val="15"/>
              </w:rPr>
              <w:t>Supporting invoices</w:t>
            </w:r>
          </w:p>
        </w:tc>
        <w:tc>
          <w:tcPr>
            <w:tcW w:type="dxa" w:w="6463"/>
          </w:tcPr>
          <w:p>
            <w:r/>
            <w:r>
              <w:rPr>
                <w:sz w:val="15"/>
              </w:rPr>
              <w:t>6140 Director personal expenses</w:t>
            </w:r>
          </w:p>
        </w:tc>
      </w:tr>
      <w:tr>
        <w:tc>
          <w:tcPr>
            <w:tcW w:type="dxa" w:w="3402"/>
          </w:tcPr>
          <w:p>
            <w:r/>
            <w:r>
              <w:rPr>
                <w:sz w:val="15"/>
              </w:rPr>
              <w:t>Transfer-pricing documentation if required</w:t>
            </w:r>
          </w:p>
        </w:tc>
        <w:tc>
          <w:tcPr>
            <w:tcW w:type="dxa" w:w="6463"/>
          </w:tcPr>
          <w:p>
            <w:r/>
            <w:r>
              <w:rPr>
                <w:sz w:val="15"/>
              </w:rPr>
              <w:t>1200 Due from related party - Marjan Holdings LLC; 2200 Loan from shareholder - Marjan Holdings LLC; 6120 Management fee - Marjan Holdings LLC</w:t>
            </w:r>
          </w:p>
        </w:tc>
      </w:tr>
    </w:tbl>
    <w:p>
      <w:pPr>
        <w:spacing w:after="40"/>
      </w:pPr>
    </w:p>
    <w:p>
      <w:pPr>
        <w:pStyle w:val="Heading1"/>
      </w:pPr>
      <w:r>
        <w:t>12. Questions requiring management confirmation</w:t>
      </w:r>
    </w:p>
    <w:p>
      <w:pPr>
        <w:spacing w:after="80"/>
      </w:pPr>
      <w:r>
        <w:rPr>
          <w:b w:val="0"/>
          <w:i w:val="0"/>
        </w:rPr>
        <w:t>All required questions have an answer; answers marked as defaults or prefilled still need management's confirmation.</w:t>
      </w:r>
    </w:p>
    <w:p>
      <w:pPr>
        <w:spacing w:after="80"/>
      </w:pPr>
      <w:r>
        <w:rPr>
          <w:b w:val="0"/>
          <w:i/>
          <w:color w:val="595959"/>
          <w:sz w:val="17"/>
        </w:rPr>
        <w:t>Management confirmations recorded: documentation=Yes; business_purpose=Unknown; disallowed=Unknown; exempt_income=Unknown; arms_length=Unknown; subsidiaries=Unknown</w:t>
      </w:r>
    </w:p>
    <w:p>
      <w:pPr>
        <w:pStyle w:val="Heading1"/>
      </w:pPr>
      <w:r>
        <w:t>13. Potential tax adjustments and estimated impact</w:t>
      </w:r>
    </w:p>
    <w:p>
      <w:pPr>
        <w:spacing w:after="80"/>
      </w:pPr>
      <w:r>
        <w:rPr>
          <w:b w:val="0"/>
          <w:i w:val="0"/>
        </w:rPr>
        <w:t>There are no proposed adjustments awaiting a decision.</w:t>
      </w:r>
    </w:p>
    <w:p>
      <w:pPr>
        <w:pStyle w:val="Heading3"/>
      </w:pPr>
      <w:r>
        <w:t>Confirmed adjustments included in the computation</w:t>
      </w:r>
    </w:p>
    <w:tbl>
      <w:tblPr>
        <w:tblStyle w:val="TableGrid"/>
        <w:tblW w:type="auto" w:w="0"/>
        <w:jc w:val="center"/>
        <w:tblLayout w:type="fixed"/>
        <w:tblLook w:firstColumn="1" w:firstRow="1" w:lastColumn="0" w:lastRow="0" w:noHBand="0" w:noVBand="1" w:val="04A0"/>
      </w:tblPr>
      <w:tblGrid>
        <w:gridCol w:w="4535"/>
        <w:gridCol w:w="1587"/>
        <w:gridCol w:w="2381"/>
        <w:gridCol w:w="1361"/>
      </w:tblGrid>
      <w:tr>
        <w:trPr>
          <w:tblHeader w:val="true"/>
        </w:trPr>
        <w:tc>
          <w:tcPr>
            <w:tcW w:type="dxa" w:w="4535"/>
            <w:shd w:val="clear" w:color="auto" w:fill="283A4A"/>
          </w:tcPr>
          <w:p>
            <w:r/>
            <w:r>
              <w:rPr>
                <w:b/>
                <w:color w:val="FFFFFF"/>
                <w:sz w:val="15"/>
              </w:rPr>
              <w:t>Adjustment</w:t>
            </w:r>
          </w:p>
        </w:tc>
        <w:tc>
          <w:tcPr>
            <w:tcW w:type="dxa" w:w="1587"/>
            <w:shd w:val="clear" w:color="auto" w:fill="283A4A"/>
          </w:tcPr>
          <w:p>
            <w:r/>
            <w:r>
              <w:rPr>
                <w:b/>
                <w:color w:val="FFFFFF"/>
                <w:sz w:val="15"/>
              </w:rPr>
              <w:t>Amount (AED)</w:t>
            </w:r>
          </w:p>
        </w:tc>
        <w:tc>
          <w:tcPr>
            <w:tcW w:type="dxa" w:w="2381"/>
            <w:shd w:val="clear" w:color="auto" w:fill="283A4A"/>
          </w:tcPr>
          <w:p>
            <w:r/>
            <w:r>
              <w:rPr>
                <w:b/>
                <w:color w:val="FFFFFF"/>
                <w:sz w:val="15"/>
              </w:rPr>
              <w:t>Evidence / support</w:t>
            </w:r>
          </w:p>
        </w:tc>
        <w:tc>
          <w:tcPr>
            <w:tcW w:type="dxa" w:w="1361"/>
            <w:shd w:val="clear" w:color="auto" w:fill="283A4A"/>
          </w:tcPr>
          <w:p>
            <w:r/>
            <w:r>
              <w:rPr>
                <w:b/>
                <w:color w:val="FFFFFF"/>
                <w:sz w:val="15"/>
              </w:rPr>
              <w:t>Reviewer</w:t>
            </w:r>
          </w:p>
        </w:tc>
      </w:tr>
      <w:tr>
        <w:tc>
          <w:tcPr>
            <w:tcW w:type="dxa" w:w="4535"/>
          </w:tcPr>
          <w:p>
            <w:r/>
            <w:r>
              <w:rPr>
                <w:sz w:val="15"/>
              </w:rPr>
              <w:t>Dividend from UAE resident juridical person - Dividend income - Marjan Logistics FZE</w:t>
            </w:r>
          </w:p>
        </w:tc>
        <w:tc>
          <w:tcPr>
            <w:tcW w:type="dxa" w:w="1587"/>
          </w:tcPr>
          <w:p>
            <w:pPr>
              <w:jc w:val="right"/>
            </w:pPr>
            <w:r/>
            <w:r>
              <w:rPr>
                <w:sz w:val="15"/>
              </w:rPr>
              <w:t>400,000</w:t>
            </w:r>
          </w:p>
        </w:tc>
        <w:tc>
          <w:tcPr>
            <w:tcW w:type="dxa" w:w="2381"/>
          </w:tcPr>
          <w:p>
            <w:r/>
            <w:r>
              <w:rPr>
                <w:sz w:val="15"/>
              </w:rPr>
              <w:t>-</w:t>
            </w:r>
          </w:p>
        </w:tc>
        <w:tc>
          <w:tcPr>
            <w:tcW w:type="dxa" w:w="1361"/>
          </w:tcPr>
          <w:p>
            <w:r/>
            <w:r>
              <w:rPr>
                <w:sz w:val="15"/>
              </w:rPr>
              <w:t>-</w:t>
            </w:r>
          </w:p>
        </w:tc>
      </w:tr>
      <w:tr>
        <w:tc>
          <w:tcPr>
            <w:tcW w:type="dxa" w:w="4535"/>
          </w:tcPr>
          <w:p>
            <w:r/>
            <w:r>
              <w:rPr>
                <w:sz w:val="15"/>
              </w:rPr>
              <w:t>Entertainment / hospitality - Client entertainment and hospitality</w:t>
            </w:r>
          </w:p>
        </w:tc>
        <w:tc>
          <w:tcPr>
            <w:tcW w:type="dxa" w:w="1587"/>
          </w:tcPr>
          <w:p>
            <w:pPr>
              <w:jc w:val="right"/>
            </w:pPr>
            <w:r/>
            <w:r>
              <w:rPr>
                <w:sz w:val="15"/>
              </w:rPr>
              <w:t>35,000</w:t>
            </w:r>
          </w:p>
        </w:tc>
        <w:tc>
          <w:tcPr>
            <w:tcW w:type="dxa" w:w="2381"/>
          </w:tcPr>
          <w:p>
            <w:r/>
            <w:r>
              <w:rPr>
                <w:sz w:val="15"/>
              </w:rPr>
              <w:t>-</w:t>
            </w:r>
          </w:p>
        </w:tc>
        <w:tc>
          <w:tcPr>
            <w:tcW w:type="dxa" w:w="1361"/>
          </w:tcPr>
          <w:p>
            <w:r/>
            <w:r>
              <w:rPr>
                <w:sz w:val="15"/>
              </w:rPr>
              <w:t>-</w:t>
            </w:r>
          </w:p>
        </w:tc>
      </w:tr>
      <w:tr>
        <w:tc>
          <w:tcPr>
            <w:tcW w:type="dxa" w:w="4535"/>
          </w:tcPr>
          <w:p>
            <w:r/>
            <w:r>
              <w:rPr>
                <w:sz w:val="15"/>
              </w:rPr>
              <w:t>Donations / charitable - Donations</w:t>
            </w:r>
          </w:p>
        </w:tc>
        <w:tc>
          <w:tcPr>
            <w:tcW w:type="dxa" w:w="1587"/>
          </w:tcPr>
          <w:p>
            <w:pPr>
              <w:jc w:val="right"/>
            </w:pPr>
            <w:r/>
            <w:r>
              <w:rPr>
                <w:sz w:val="15"/>
              </w:rPr>
              <w:t>75,000</w:t>
            </w:r>
          </w:p>
        </w:tc>
        <w:tc>
          <w:tcPr>
            <w:tcW w:type="dxa" w:w="2381"/>
          </w:tcPr>
          <w:p>
            <w:r/>
            <w:r>
              <w:rPr>
                <w:sz w:val="15"/>
              </w:rPr>
              <w:t>-</w:t>
            </w:r>
          </w:p>
        </w:tc>
        <w:tc>
          <w:tcPr>
            <w:tcW w:type="dxa" w:w="1361"/>
          </w:tcPr>
          <w:p>
            <w:r/>
            <w:r>
              <w:rPr>
                <w:sz w:val="15"/>
              </w:rPr>
              <w:t>-</w:t>
            </w:r>
          </w:p>
        </w:tc>
      </w:tr>
      <w:tr>
        <w:tc>
          <w:tcPr>
            <w:tcW w:type="dxa" w:w="4535"/>
          </w:tcPr>
          <w:p>
            <w:r/>
            <w:r>
              <w:rPr>
                <w:sz w:val="15"/>
              </w:rPr>
              <w:t>Personal / owner expenses - Director personal expenses</w:t>
            </w:r>
          </w:p>
        </w:tc>
        <w:tc>
          <w:tcPr>
            <w:tcW w:type="dxa" w:w="1587"/>
          </w:tcPr>
          <w:p>
            <w:pPr>
              <w:jc w:val="right"/>
            </w:pPr>
            <w:r/>
            <w:r>
              <w:rPr>
                <w:sz w:val="15"/>
              </w:rPr>
              <w:t>42,000</w:t>
            </w:r>
          </w:p>
        </w:tc>
        <w:tc>
          <w:tcPr>
            <w:tcW w:type="dxa" w:w="2381"/>
          </w:tcPr>
          <w:p>
            <w:r/>
            <w:r>
              <w:rPr>
                <w:sz w:val="15"/>
              </w:rPr>
              <w:t>-</w:t>
            </w:r>
          </w:p>
        </w:tc>
        <w:tc>
          <w:tcPr>
            <w:tcW w:type="dxa" w:w="1361"/>
          </w:tcPr>
          <w:p>
            <w:r/>
            <w:r>
              <w:rPr>
                <w:sz w:val="15"/>
              </w:rPr>
              <w:t>-</w:t>
            </w:r>
          </w:p>
        </w:tc>
      </w:tr>
      <w:tr>
        <w:tc>
          <w:tcPr>
            <w:tcW w:type="dxa" w:w="4535"/>
          </w:tcPr>
          <w:p>
            <w:r/>
            <w:r>
              <w:rPr>
                <w:sz w:val="15"/>
              </w:rPr>
              <w:t>Fines and penalties - Fines and penalties</w:t>
            </w:r>
          </w:p>
        </w:tc>
        <w:tc>
          <w:tcPr>
            <w:tcW w:type="dxa" w:w="1587"/>
          </w:tcPr>
          <w:p>
            <w:pPr>
              <w:jc w:val="right"/>
            </w:pPr>
            <w:r/>
            <w:r>
              <w:rPr>
                <w:sz w:val="15"/>
              </w:rPr>
              <w:t>28,000</w:t>
            </w:r>
          </w:p>
        </w:tc>
        <w:tc>
          <w:tcPr>
            <w:tcW w:type="dxa" w:w="2381"/>
          </w:tcPr>
          <w:p>
            <w:r/>
            <w:r>
              <w:rPr>
                <w:sz w:val="15"/>
              </w:rPr>
              <w:t>-</w:t>
            </w:r>
          </w:p>
        </w:tc>
        <w:tc>
          <w:tcPr>
            <w:tcW w:type="dxa" w:w="1361"/>
          </w:tcPr>
          <w:p>
            <w:r/>
            <w:r>
              <w:rPr>
                <w:sz w:val="15"/>
              </w:rPr>
              <w:t>-</w:t>
            </w:r>
          </w:p>
        </w:tc>
      </w:tr>
    </w:tbl>
    <w:p>
      <w:pPr>
        <w:spacing w:after="40"/>
      </w:pPr>
    </w:p>
    <w:p>
      <w:pPr>
        <w:pStyle w:val="Heading1"/>
      </w:pPr>
      <w:r>
        <w:t>14. Unresolved technical issues and assumptions</w:t>
      </w:r>
    </w:p>
    <w:tbl>
      <w:tblPr>
        <w:tblStyle w:val="TableGrid"/>
        <w:tblW w:type="auto" w:w="0"/>
        <w:jc w:val="center"/>
        <w:tblLayout w:type="fixed"/>
        <w:tblLook w:firstColumn="1" w:firstRow="1" w:lastColumn="0" w:lastRow="0" w:noHBand="0" w:noVBand="1" w:val="04A0"/>
      </w:tblPr>
      <w:tblGrid>
        <w:gridCol w:w="1701"/>
        <w:gridCol w:w="6236"/>
        <w:gridCol w:w="1928"/>
      </w:tblGrid>
      <w:tr>
        <w:trPr>
          <w:tblHeader w:val="true"/>
        </w:trPr>
        <w:tc>
          <w:tcPr>
            <w:tcW w:type="dxa" w:w="1701"/>
            <w:shd w:val="clear" w:color="auto" w:fill="283A4A"/>
          </w:tcPr>
          <w:p>
            <w:r/>
            <w:r>
              <w:rPr>
                <w:b/>
                <w:color w:val="FFFFFF"/>
                <w:sz w:val="15"/>
              </w:rPr>
              <w:t>Topic</w:t>
            </w:r>
          </w:p>
        </w:tc>
        <w:tc>
          <w:tcPr>
            <w:tcW w:type="dxa" w:w="6236"/>
            <w:shd w:val="clear" w:color="auto" w:fill="283A4A"/>
          </w:tcPr>
          <w:p>
            <w:r/>
            <w:r>
              <w:rPr>
                <w:b/>
                <w:color w:val="FFFFFF"/>
                <w:sz w:val="15"/>
              </w:rPr>
              <w:t>Issue</w:t>
            </w:r>
          </w:p>
        </w:tc>
        <w:tc>
          <w:tcPr>
            <w:tcW w:type="dxa" w:w="1928"/>
            <w:shd w:val="clear" w:color="auto" w:fill="283A4A"/>
          </w:tcPr>
          <w:p>
            <w:r/>
            <w:r>
              <w:rPr>
                <w:b/>
                <w:color w:val="FFFFFF"/>
                <w:sz w:val="15"/>
              </w:rPr>
              <w:t>Status</w:t>
            </w:r>
          </w:p>
        </w:tc>
      </w:tr>
      <w:tr>
        <w:tc>
          <w:tcPr>
            <w:tcW w:type="dxa" w:w="1701"/>
          </w:tcPr>
          <w:p>
            <w:r/>
            <w:r>
              <w:rPr>
                <w:sz w:val="15"/>
              </w:rPr>
              <w:t>Realisation basis</w:t>
            </w:r>
          </w:p>
        </w:tc>
        <w:tc>
          <w:tcPr>
            <w:tcW w:type="dxa" w:w="6236"/>
          </w:tcPr>
          <w:p>
            <w:r/>
            <w:r>
              <w:rPr>
                <w:sz w:val="15"/>
              </w:rPr>
              <w:t>Fair value movements are included in taxable income on the current basis. Consider whether an election was made in the first tax period.</w:t>
            </w:r>
          </w:p>
        </w:tc>
        <w:tc>
          <w:tcPr>
            <w:tcW w:type="dxa" w:w="1928"/>
            <w:shd w:val="clear" w:color="auto" w:fill="DDEBF7"/>
          </w:tcPr>
          <w:p>
            <w:r/>
            <w:r>
              <w:rPr>
                <w:b/>
                <w:sz w:val="15"/>
              </w:rPr>
              <w:t>Technical review required</w:t>
            </w:r>
          </w:p>
        </w:tc>
      </w:tr>
      <w:tr>
        <w:tc>
          <w:tcPr>
            <w:tcW w:type="dxa" w:w="1701"/>
          </w:tcPr>
          <w:p>
            <w:r/>
            <w:r>
              <w:rPr>
                <w:sz w:val="15"/>
              </w:rPr>
              <w:t>Exempt income</w:t>
            </w:r>
          </w:p>
        </w:tc>
        <w:tc>
          <w:tcPr>
            <w:tcW w:type="dxa" w:w="6236"/>
          </w:tcPr>
          <w:p>
            <w:r/>
            <w:r>
              <w:rPr>
                <w:sz w:val="15"/>
              </w:rPr>
              <w:t>Expenses incurred in deriving exempt income (e.g. interest on funding) are non-deductible - quantify and enter under 'Additional adjustments'.</w:t>
            </w:r>
          </w:p>
        </w:tc>
        <w:tc>
          <w:tcPr>
            <w:tcW w:type="dxa" w:w="1928"/>
            <w:shd w:val="clear" w:color="auto" w:fill="FCE4D6"/>
          </w:tcPr>
          <w:p>
            <w:r/>
            <w:r>
              <w:rPr>
                <w:b/>
                <w:sz w:val="15"/>
              </w:rPr>
              <w:t>Information required</w:t>
            </w:r>
          </w:p>
        </w:tc>
      </w:tr>
      <w:tr>
        <w:tc>
          <w:tcPr>
            <w:tcW w:type="dxa" w:w="1701"/>
          </w:tcPr>
          <w:p>
            <w:r/>
            <w:r>
              <w:rPr>
                <w:sz w:val="15"/>
              </w:rPr>
              <w:t>Provisions</w:t>
            </w:r>
          </w:p>
        </w:tc>
        <w:tc>
          <w:tcPr>
            <w:tcW w:type="dxa" w:w="6236"/>
          </w:tcPr>
          <w:p>
            <w:r/>
            <w:r>
              <w:rPr>
                <w:sz w:val="15"/>
              </w:rPr>
              <w:t>Provisions/impairments: confirm deductibility under the elected basis; no adjustment has been proposed.</w:t>
            </w:r>
          </w:p>
        </w:tc>
        <w:tc>
          <w:tcPr>
            <w:tcW w:type="dxa" w:w="1928"/>
            <w:shd w:val="clear" w:color="auto" w:fill="DDEBF7"/>
          </w:tcPr>
          <w:p>
            <w:r/>
            <w:r>
              <w:rPr>
                <w:b/>
                <w:sz w:val="15"/>
              </w:rPr>
              <w:t>Technical review required</w:t>
            </w:r>
          </w:p>
        </w:tc>
      </w:tr>
      <w:tr>
        <w:tc>
          <w:tcPr>
            <w:tcW w:type="dxa" w:w="1701"/>
          </w:tcPr>
          <w:p>
            <w:r/>
            <w:r>
              <w:rPr>
                <w:sz w:val="15"/>
              </w:rPr>
              <w:t>Related parties</w:t>
            </w:r>
          </w:p>
        </w:tc>
        <w:tc>
          <w:tcPr>
            <w:tcW w:type="dxa" w:w="6236"/>
          </w:tcPr>
          <w:p>
            <w:r/>
            <w:r>
              <w:rPr>
                <w:sz w:val="15"/>
              </w:rPr>
              <w:t>Management confirmation that related-party and connected-person transactions are at arm's length is not on file.</w:t>
            </w:r>
          </w:p>
        </w:tc>
        <w:tc>
          <w:tcPr>
            <w:tcW w:type="dxa" w:w="1928"/>
            <w:shd w:val="clear" w:color="auto" w:fill="FCE4D6"/>
          </w:tcPr>
          <w:p>
            <w:r/>
            <w:r>
              <w:rPr>
                <w:b/>
                <w:sz w:val="15"/>
              </w:rPr>
              <w:t>Information required</w:t>
            </w:r>
          </w:p>
        </w:tc>
      </w:tr>
      <w:tr>
        <w:tc>
          <w:tcPr>
            <w:tcW w:type="dxa" w:w="1701"/>
          </w:tcPr>
          <w:p>
            <w:r/>
            <w:r>
              <w:rPr>
                <w:sz w:val="15"/>
              </w:rPr>
              <w:t>Exempt income</w:t>
            </w:r>
          </w:p>
        </w:tc>
        <w:tc>
          <w:tcPr>
            <w:tcW w:type="dxa" w:w="6236"/>
          </w:tcPr>
          <w:p>
            <w:r/>
            <w:r>
              <w:rPr>
                <w:sz w:val="15"/>
              </w:rPr>
              <w:t>Management has not confirmed the exempt-income position (dividends and share gains exist in the TB).</w:t>
            </w:r>
          </w:p>
        </w:tc>
        <w:tc>
          <w:tcPr>
            <w:tcW w:type="dxa" w:w="1928"/>
            <w:shd w:val="clear" w:color="auto" w:fill="FCE4D6"/>
          </w:tcPr>
          <w:p>
            <w:r/>
            <w:r>
              <w:rPr>
                <w:b/>
                <w:sz w:val="15"/>
              </w:rPr>
              <w:t>Information required</w:t>
            </w:r>
          </w:p>
        </w:tc>
      </w:tr>
      <w:tr>
        <w:tc>
          <w:tcPr>
            <w:tcW w:type="dxa" w:w="1701"/>
          </w:tcPr>
          <w:p>
            <w:r/>
            <w:r>
              <w:rPr>
                <w:sz w:val="15"/>
              </w:rPr>
              <w:t>Disallowed expenses</w:t>
            </w:r>
          </w:p>
        </w:tc>
        <w:tc>
          <w:tcPr>
            <w:tcW w:type="dxa" w:w="6236"/>
          </w:tcPr>
          <w:p>
            <w:r/>
            <w:r>
              <w:rPr>
                <w:sz w:val="15"/>
              </w:rPr>
              <w:t>Management has not confirmed that no other expenses of a disallowable nature are recorded.</w:t>
            </w:r>
          </w:p>
        </w:tc>
        <w:tc>
          <w:tcPr>
            <w:tcW w:type="dxa" w:w="1928"/>
            <w:shd w:val="clear" w:color="auto" w:fill="FCE4D6"/>
          </w:tcPr>
          <w:p>
            <w:r/>
            <w:r>
              <w:rPr>
                <w:b/>
                <w:sz w:val="15"/>
              </w:rPr>
              <w:t>Information required</w:t>
            </w:r>
          </w:p>
        </w:tc>
      </w:tr>
    </w:tbl>
    <w:p>
      <w:pPr>
        <w:spacing w:after="40"/>
      </w:pPr>
    </w:p>
    <w:p>
      <w:pPr>
        <w:pStyle w:val="Heading3"/>
      </w:pPr>
      <w:r>
        <w:t>Rules relied on - verification status</w:t>
      </w:r>
    </w:p>
    <w:tbl>
      <w:tblPr>
        <w:tblStyle w:val="TableGrid"/>
        <w:tblW w:type="auto" w:w="0"/>
        <w:jc w:val="center"/>
        <w:tblLayout w:type="fixed"/>
        <w:tblLook w:firstColumn="1" w:firstRow="1" w:lastColumn="0" w:lastRow="0" w:noHBand="0" w:noVBand="1" w:val="04A0"/>
      </w:tblPr>
      <w:tblGrid>
        <w:gridCol w:w="907"/>
        <w:gridCol w:w="3061"/>
        <w:gridCol w:w="3402"/>
        <w:gridCol w:w="1417"/>
        <w:gridCol w:w="1077"/>
      </w:tblGrid>
      <w:tr>
        <w:trPr>
          <w:tblHeader w:val="true"/>
        </w:trPr>
        <w:tc>
          <w:tcPr>
            <w:tcW w:type="dxa" w:w="907"/>
            <w:shd w:val="clear" w:color="auto" w:fill="283A4A"/>
          </w:tcPr>
          <w:p>
            <w:r/>
            <w:r>
              <w:rPr>
                <w:b/>
                <w:color w:val="FFFFFF"/>
                <w:sz w:val="14"/>
              </w:rPr>
              <w:t>ID</w:t>
            </w:r>
          </w:p>
        </w:tc>
        <w:tc>
          <w:tcPr>
            <w:tcW w:type="dxa" w:w="3061"/>
            <w:shd w:val="clear" w:color="auto" w:fill="283A4A"/>
          </w:tcPr>
          <w:p>
            <w:r/>
            <w:r>
              <w:rPr>
                <w:b/>
                <w:color w:val="FFFFFF"/>
                <w:sz w:val="14"/>
              </w:rPr>
              <w:t>Rule</w:t>
            </w:r>
          </w:p>
        </w:tc>
        <w:tc>
          <w:tcPr>
            <w:tcW w:type="dxa" w:w="3402"/>
            <w:shd w:val="clear" w:color="auto" w:fill="283A4A"/>
          </w:tcPr>
          <w:p>
            <w:r/>
            <w:r>
              <w:rPr>
                <w:b/>
                <w:color w:val="FFFFFF"/>
                <w:sz w:val="14"/>
              </w:rPr>
              <w:t>Source</w:t>
            </w:r>
          </w:p>
        </w:tc>
        <w:tc>
          <w:tcPr>
            <w:tcW w:type="dxa" w:w="1417"/>
            <w:shd w:val="clear" w:color="auto" w:fill="283A4A"/>
          </w:tcPr>
          <w:p>
            <w:r/>
            <w:r>
              <w:rPr>
                <w:b/>
                <w:color w:val="FFFFFF"/>
                <w:sz w:val="14"/>
              </w:rPr>
              <w:t>Verification</w:t>
            </w:r>
          </w:p>
        </w:tc>
        <w:tc>
          <w:tcPr>
            <w:tcW w:type="dxa" w:w="1077"/>
            <w:shd w:val="clear" w:color="auto" w:fill="283A4A"/>
          </w:tcPr>
          <w:p>
            <w:r/>
            <w:r>
              <w:rPr>
                <w:b/>
                <w:color w:val="FFFFFF"/>
                <w:sz w:val="14"/>
              </w:rPr>
              <w:t>Checked</w:t>
            </w:r>
          </w:p>
        </w:tc>
      </w:tr>
      <w:tr>
        <w:tc>
          <w:tcPr>
            <w:tcW w:type="dxa" w:w="907"/>
          </w:tcPr>
          <w:p>
            <w:r/>
            <w:r>
              <w:rPr>
                <w:sz w:val="14"/>
              </w:rPr>
              <w:t>FX-01</w:t>
            </w:r>
          </w:p>
        </w:tc>
        <w:tc>
          <w:tcPr>
            <w:tcW w:type="dxa" w:w="3061"/>
          </w:tcPr>
          <w:p>
            <w:r/>
            <w:r>
              <w:rPr>
                <w:sz w:val="14"/>
              </w:rPr>
              <w:t>Conversion of non-AED amounts to AED</w:t>
            </w:r>
          </w:p>
        </w:tc>
        <w:tc>
          <w:tcPr>
            <w:tcW w:type="dxa" w:w="3402"/>
          </w:tcPr>
          <w:p>
            <w:r/>
            <w:r>
              <w:rPr>
                <w:sz w:val="14"/>
              </w:rPr>
              <w:t>FTA Decision No. 13 of 2023 (conversion conditions), effective 1 June 2023</w:t>
            </w:r>
          </w:p>
        </w:tc>
        <w:tc>
          <w:tcPr>
            <w:tcW w:type="dxa" w:w="1417"/>
          </w:tcPr>
          <w:p>
            <w:r/>
            <w:r>
              <w:rPr>
                <w:sz w:val="14"/>
              </w:rPr>
              <w:t>SECONDARY</w:t>
            </w:r>
          </w:p>
        </w:tc>
        <w:tc>
          <w:tcPr>
            <w:tcW w:type="dxa" w:w="1077"/>
          </w:tcPr>
          <w:p>
            <w:r/>
            <w:r>
              <w:rPr>
                <w:sz w:val="14"/>
              </w:rPr>
              <w:t>2026-10-11</w:t>
            </w:r>
          </w:p>
        </w:tc>
      </w:tr>
      <w:tr>
        <w:tc>
          <w:tcPr>
            <w:tcW w:type="dxa" w:w="907"/>
          </w:tcPr>
          <w:p>
            <w:r/>
            <w:r>
              <w:rPr>
                <w:sz w:val="14"/>
              </w:rPr>
              <w:t>RB-01</w:t>
            </w:r>
          </w:p>
        </w:tc>
        <w:tc>
          <w:tcPr>
            <w:tcW w:type="dxa" w:w="3061"/>
          </w:tcPr>
          <w:p>
            <w:r/>
            <w:r>
              <w:rPr>
                <w:sz w:val="14"/>
              </w:rPr>
              <w:t>Realisation basis election</w:t>
            </w:r>
          </w:p>
        </w:tc>
        <w:tc>
          <w:tcPr>
            <w:tcW w:type="dxa" w:w="3402"/>
          </w:tcPr>
          <w:p>
            <w:r/>
            <w:r>
              <w:rPr>
                <w:sz w:val="14"/>
              </w:rPr>
              <w:t>Federal Decree-Law No. 47 of 2022 Art. 20(3); Ministerial Decision No. 134 of 2023 (Art. 8(3)); FTA Corporate Tax Guide - Determination of Taxable Income (31 Jul 2024) s.4.3, 4.3.1</w:t>
            </w:r>
          </w:p>
        </w:tc>
        <w:tc>
          <w:tcPr>
            <w:tcW w:type="dxa" w:w="1417"/>
          </w:tcPr>
          <w:p>
            <w:r/>
            <w:r>
              <w:rPr>
                <w:sz w:val="14"/>
              </w:rPr>
              <w:t>PRIMARY_READ</w:t>
            </w:r>
          </w:p>
        </w:tc>
        <w:tc>
          <w:tcPr>
            <w:tcW w:type="dxa" w:w="1077"/>
          </w:tcPr>
          <w:p>
            <w:r/>
            <w:r>
              <w:rPr>
                <w:sz w:val="14"/>
              </w:rPr>
              <w:t>2026-10-11</w:t>
            </w:r>
          </w:p>
        </w:tc>
      </w:tr>
      <w:tr>
        <w:tc>
          <w:tcPr>
            <w:tcW w:type="dxa" w:w="907"/>
          </w:tcPr>
          <w:p>
            <w:r/>
            <w:r>
              <w:rPr>
                <w:sz w:val="14"/>
              </w:rPr>
              <w:t>TR-01</w:t>
            </w:r>
          </w:p>
        </w:tc>
        <w:tc>
          <w:tcPr>
            <w:tcW w:type="dxa" w:w="3061"/>
          </w:tcPr>
          <w:p>
            <w:r/>
            <w:r>
              <w:rPr>
                <w:sz w:val="14"/>
              </w:rPr>
              <w:t>Transitional rules</w:t>
            </w:r>
          </w:p>
        </w:tc>
        <w:tc>
          <w:tcPr>
            <w:tcW w:type="dxa" w:w="3402"/>
          </w:tcPr>
          <w:p>
            <w:r/>
            <w:r>
              <w:rPr>
                <w:sz w:val="14"/>
              </w:rPr>
              <w:t>Ministerial Decision No. 120 of 2023 (cited in FTA guide pp.14, 17)</w:t>
            </w:r>
          </w:p>
        </w:tc>
        <w:tc>
          <w:tcPr>
            <w:tcW w:type="dxa" w:w="1417"/>
          </w:tcPr>
          <w:p>
            <w:r/>
            <w:r>
              <w:rPr>
                <w:sz w:val="14"/>
              </w:rPr>
              <w:t>UNVERIFIED</w:t>
            </w:r>
          </w:p>
        </w:tc>
        <w:tc>
          <w:tcPr>
            <w:tcW w:type="dxa" w:w="1077"/>
          </w:tcPr>
          <w:p>
            <w:r/>
            <w:r>
              <w:rPr>
                <w:sz w:val="14"/>
              </w:rPr>
            </w:r>
          </w:p>
        </w:tc>
      </w:tr>
      <w:tr>
        <w:tc>
          <w:tcPr>
            <w:tcW w:type="dxa" w:w="907"/>
          </w:tcPr>
          <w:p>
            <w:r/>
            <w:r>
              <w:rPr>
                <w:sz w:val="14"/>
              </w:rPr>
              <w:t>RATE-01</w:t>
            </w:r>
          </w:p>
        </w:tc>
        <w:tc>
          <w:tcPr>
            <w:tcW w:type="dxa" w:w="3061"/>
          </w:tcPr>
          <w:p>
            <w:r/>
            <w:r>
              <w:rPr>
                <w:sz w:val="14"/>
              </w:rPr>
              <w:t>Corporate Tax rates</w:t>
            </w:r>
          </w:p>
        </w:tc>
        <w:tc>
          <w:tcPr>
            <w:tcW w:type="dxa" w:w="3402"/>
          </w:tcPr>
          <w:p>
            <w:r/>
            <w:r>
              <w:rPr>
                <w:sz w:val="14"/>
              </w:rPr>
              <w:t>Federal Decree-Law No. 47 of 2022 Art. 3</w:t>
            </w:r>
          </w:p>
        </w:tc>
        <w:tc>
          <w:tcPr>
            <w:tcW w:type="dxa" w:w="1417"/>
          </w:tcPr>
          <w:p>
            <w:r/>
            <w:r>
              <w:rPr>
                <w:sz w:val="14"/>
              </w:rPr>
              <w:t>UNVERIFIED</w:t>
            </w:r>
          </w:p>
        </w:tc>
        <w:tc>
          <w:tcPr>
            <w:tcW w:type="dxa" w:w="1077"/>
          </w:tcPr>
          <w:p>
            <w:r/>
            <w:r>
              <w:rPr>
                <w:sz w:val="14"/>
              </w:rPr>
            </w:r>
          </w:p>
        </w:tc>
      </w:tr>
      <w:tr>
        <w:tc>
          <w:tcPr>
            <w:tcW w:type="dxa" w:w="907"/>
          </w:tcPr>
          <w:p>
            <w:r/>
            <w:r>
              <w:rPr>
                <w:sz w:val="14"/>
              </w:rPr>
              <w:t>SBR-01</w:t>
            </w:r>
          </w:p>
        </w:tc>
        <w:tc>
          <w:tcPr>
            <w:tcW w:type="dxa" w:w="3061"/>
          </w:tcPr>
          <w:p>
            <w:r/>
            <w:r>
              <w:rPr>
                <w:sz w:val="14"/>
              </w:rPr>
              <w:t>Small Business Relief</w:t>
            </w:r>
          </w:p>
        </w:tc>
        <w:tc>
          <w:tcPr>
            <w:tcW w:type="dxa" w:w="3402"/>
          </w:tcPr>
          <w:p>
            <w:r/>
            <w:r>
              <w:rPr>
                <w:sz w:val="14"/>
              </w:rPr>
              <w:t>Federal Decree-Law No. 47 of 2022 Art. 21; Ministerial Decision No. 73 of 2023; Ministerial Decision No. 131 of 2026 (extension - reported)</w:t>
            </w:r>
          </w:p>
        </w:tc>
        <w:tc>
          <w:tcPr>
            <w:tcW w:type="dxa" w:w="1417"/>
          </w:tcPr>
          <w:p>
            <w:r/>
            <w:r>
              <w:rPr>
                <w:sz w:val="14"/>
              </w:rPr>
              <w:t>SECONDARY</w:t>
            </w:r>
          </w:p>
        </w:tc>
        <w:tc>
          <w:tcPr>
            <w:tcW w:type="dxa" w:w="1077"/>
          </w:tcPr>
          <w:p>
            <w:r/>
            <w:r>
              <w:rPr>
                <w:sz w:val="14"/>
              </w:rPr>
              <w:t>2026-10-11</w:t>
            </w:r>
          </w:p>
        </w:tc>
      </w:tr>
      <w:tr>
        <w:tc>
          <w:tcPr>
            <w:tcW w:type="dxa" w:w="907"/>
          </w:tcPr>
          <w:p>
            <w:r/>
            <w:r>
              <w:rPr>
                <w:sz w:val="14"/>
              </w:rPr>
              <w:t>QFZP-01</w:t>
            </w:r>
          </w:p>
        </w:tc>
        <w:tc>
          <w:tcPr>
            <w:tcW w:type="dxa" w:w="3061"/>
          </w:tcPr>
          <w:p>
            <w:r/>
            <w:r>
              <w:rPr>
                <w:sz w:val="14"/>
              </w:rPr>
              <w:t>Qualifying Free Zone Person</w:t>
            </w:r>
          </w:p>
        </w:tc>
        <w:tc>
          <w:tcPr>
            <w:tcW w:type="dxa" w:w="3402"/>
          </w:tcPr>
          <w:p>
            <w:r/>
            <w:r>
              <w:rPr>
                <w:sz w:val="14"/>
              </w:rPr>
              <w:t>Cabinet Decision No. 100 of 2023; Ministerial Decisions No. 229 and 230 of 2025; MD 84 of 2025 (audit requirement)</w:t>
            </w:r>
          </w:p>
        </w:tc>
        <w:tc>
          <w:tcPr>
            <w:tcW w:type="dxa" w:w="1417"/>
          </w:tcPr>
          <w:p>
            <w:r/>
            <w:r>
              <w:rPr>
                <w:sz w:val="14"/>
              </w:rPr>
              <w:t>SECONDARY</w:t>
            </w:r>
          </w:p>
        </w:tc>
        <w:tc>
          <w:tcPr>
            <w:tcW w:type="dxa" w:w="1077"/>
          </w:tcPr>
          <w:p>
            <w:r/>
            <w:r>
              <w:rPr>
                <w:sz w:val="14"/>
              </w:rPr>
              <w:t>2026-10-11</w:t>
            </w:r>
          </w:p>
        </w:tc>
      </w:tr>
      <w:tr>
        <w:tc>
          <w:tcPr>
            <w:tcW w:type="dxa" w:w="907"/>
          </w:tcPr>
          <w:p>
            <w:r/>
            <w:r>
              <w:rPr>
                <w:sz w:val="14"/>
              </w:rPr>
              <w:t>INT-01</w:t>
            </w:r>
          </w:p>
        </w:tc>
        <w:tc>
          <w:tcPr>
            <w:tcW w:type="dxa" w:w="3061"/>
          </w:tcPr>
          <w:p>
            <w:r/>
            <w:r>
              <w:rPr>
                <w:sz w:val="14"/>
              </w:rPr>
              <w:t>General interest deduction limitation</w:t>
            </w:r>
          </w:p>
        </w:tc>
        <w:tc>
          <w:tcPr>
            <w:tcW w:type="dxa" w:w="3402"/>
          </w:tcPr>
          <w:p>
            <w:r/>
            <w:r>
              <w:rPr>
                <w:sz w:val="14"/>
              </w:rPr>
              <w:t>Federal Decree-Law No. 47 of 2022 Art. 30; Ministerial Decision No. 126 of 2023 (cited in FTA guide s.4.6.1.5)</w:t>
            </w:r>
          </w:p>
        </w:tc>
        <w:tc>
          <w:tcPr>
            <w:tcW w:type="dxa" w:w="1417"/>
          </w:tcPr>
          <w:p>
            <w:r/>
            <w:r>
              <w:rPr>
                <w:sz w:val="14"/>
              </w:rPr>
              <w:t>UNVERIFIED</w:t>
            </w:r>
          </w:p>
        </w:tc>
        <w:tc>
          <w:tcPr>
            <w:tcW w:type="dxa" w:w="1077"/>
          </w:tcPr>
          <w:p>
            <w:r/>
            <w:r>
              <w:rPr>
                <w:sz w:val="14"/>
              </w:rPr>
            </w:r>
          </w:p>
        </w:tc>
      </w:tr>
      <w:tr>
        <w:tc>
          <w:tcPr>
            <w:tcW w:type="dxa" w:w="907"/>
          </w:tcPr>
          <w:p>
            <w:r/>
            <w:r>
              <w:rPr>
                <w:sz w:val="14"/>
              </w:rPr>
              <w:t>PE-01</w:t>
            </w:r>
          </w:p>
        </w:tc>
        <w:tc>
          <w:tcPr>
            <w:tcW w:type="dxa" w:w="3061"/>
          </w:tcPr>
          <w:p>
            <w:r/>
            <w:r>
              <w:rPr>
                <w:sz w:val="14"/>
              </w:rPr>
              <w:t>Participation exemption / exempt dividends</w:t>
            </w:r>
          </w:p>
        </w:tc>
        <w:tc>
          <w:tcPr>
            <w:tcW w:type="dxa" w:w="3402"/>
          </w:tcPr>
          <w:p>
            <w:r/>
            <w:r>
              <w:rPr>
                <w:sz w:val="14"/>
              </w:rPr>
              <w:t>Federal Decree-Law No. 47 of 2022 Arts. 22-24; Cabinet Decision No. 116 of 2023</w:t>
            </w:r>
          </w:p>
        </w:tc>
        <w:tc>
          <w:tcPr>
            <w:tcW w:type="dxa" w:w="1417"/>
          </w:tcPr>
          <w:p>
            <w:r/>
            <w:r>
              <w:rPr>
                <w:sz w:val="14"/>
              </w:rPr>
              <w:t>UNVERIFIED</w:t>
            </w:r>
          </w:p>
        </w:tc>
        <w:tc>
          <w:tcPr>
            <w:tcW w:type="dxa" w:w="1077"/>
          </w:tcPr>
          <w:p>
            <w:r/>
            <w:r>
              <w:rPr>
                <w:sz w:val="14"/>
              </w:rPr>
            </w:r>
          </w:p>
        </w:tc>
      </w:tr>
      <w:tr>
        <w:tc>
          <w:tcPr>
            <w:tcW w:type="dxa" w:w="907"/>
          </w:tcPr>
          <w:p>
            <w:r/>
            <w:r>
              <w:rPr>
                <w:sz w:val="14"/>
              </w:rPr>
              <w:t>NDE-01</w:t>
            </w:r>
          </w:p>
        </w:tc>
        <w:tc>
          <w:tcPr>
            <w:tcW w:type="dxa" w:w="3061"/>
          </w:tcPr>
          <w:p>
            <w:r/>
            <w:r>
              <w:rPr>
                <w:sz w:val="14"/>
              </w:rPr>
              <w:t>Non-deductible expenditure</w:t>
            </w:r>
          </w:p>
        </w:tc>
        <w:tc>
          <w:tcPr>
            <w:tcW w:type="dxa" w:w="3402"/>
          </w:tcPr>
          <w:p>
            <w:r/>
            <w:r>
              <w:rPr>
                <w:sz w:val="14"/>
              </w:rPr>
              <w:t>Federal Decree-Law No. 47 of 2022 Arts. 28, 33; template rows 33-48</w:t>
            </w:r>
          </w:p>
        </w:tc>
        <w:tc>
          <w:tcPr>
            <w:tcW w:type="dxa" w:w="1417"/>
          </w:tcPr>
          <w:p>
            <w:r/>
            <w:r>
              <w:rPr>
                <w:sz w:val="14"/>
              </w:rPr>
              <w:t>UNVERIFIED</w:t>
            </w:r>
          </w:p>
        </w:tc>
        <w:tc>
          <w:tcPr>
            <w:tcW w:type="dxa" w:w="1077"/>
          </w:tcPr>
          <w:p>
            <w:r/>
            <w:r>
              <w:rPr>
                <w:sz w:val="14"/>
              </w:rPr>
            </w:r>
          </w:p>
        </w:tc>
      </w:tr>
      <w:tr>
        <w:tc>
          <w:tcPr>
            <w:tcW w:type="dxa" w:w="907"/>
          </w:tcPr>
          <w:p>
            <w:r/>
            <w:r>
              <w:rPr>
                <w:sz w:val="14"/>
              </w:rPr>
              <w:t>LOSS-01</w:t>
            </w:r>
          </w:p>
        </w:tc>
        <w:tc>
          <w:tcPr>
            <w:tcW w:type="dxa" w:w="3061"/>
          </w:tcPr>
          <w:p>
            <w:r/>
            <w:r>
              <w:rPr>
                <w:sz w:val="14"/>
              </w:rPr>
              <w:t>Tax losses</w:t>
            </w:r>
          </w:p>
        </w:tc>
        <w:tc>
          <w:tcPr>
            <w:tcW w:type="dxa" w:w="3402"/>
          </w:tcPr>
          <w:p>
            <w:r/>
            <w:r>
              <w:rPr>
                <w:sz w:val="14"/>
              </w:rPr>
              <w:t>Federal Decree-Law No. 47 of 2022 Art. 37</w:t>
            </w:r>
          </w:p>
        </w:tc>
        <w:tc>
          <w:tcPr>
            <w:tcW w:type="dxa" w:w="1417"/>
          </w:tcPr>
          <w:p>
            <w:r/>
            <w:r>
              <w:rPr>
                <w:sz w:val="14"/>
              </w:rPr>
              <w:t>UNVERIFIED</w:t>
            </w:r>
          </w:p>
        </w:tc>
        <w:tc>
          <w:tcPr>
            <w:tcW w:type="dxa" w:w="1077"/>
          </w:tcPr>
          <w:p>
            <w:r/>
            <w:r>
              <w:rPr>
                <w:sz w:val="14"/>
              </w:rPr>
            </w:r>
          </w:p>
        </w:tc>
      </w:tr>
      <w:tr>
        <w:tc>
          <w:tcPr>
            <w:tcW w:type="dxa" w:w="907"/>
          </w:tcPr>
          <w:p>
            <w:r/>
            <w:r>
              <w:rPr>
                <w:sz w:val="14"/>
              </w:rPr>
              <w:t>RP-01</w:t>
            </w:r>
          </w:p>
        </w:tc>
        <w:tc>
          <w:tcPr>
            <w:tcW w:type="dxa" w:w="3061"/>
          </w:tcPr>
          <w:p>
            <w:r/>
            <w:r>
              <w:rPr>
                <w:sz w:val="14"/>
              </w:rPr>
              <w:t>Related parties and transfer pricing</w:t>
            </w:r>
          </w:p>
        </w:tc>
        <w:tc>
          <w:tcPr>
            <w:tcW w:type="dxa" w:w="3402"/>
          </w:tcPr>
          <w:p>
            <w:r/>
            <w:r>
              <w:rPr>
                <w:sz w:val="14"/>
              </w:rPr>
              <w:t>Federal Decree-Law No. 47 of 2022 Arts. 34-36</w:t>
            </w:r>
          </w:p>
        </w:tc>
        <w:tc>
          <w:tcPr>
            <w:tcW w:type="dxa" w:w="1417"/>
          </w:tcPr>
          <w:p>
            <w:r/>
            <w:r>
              <w:rPr>
                <w:sz w:val="14"/>
              </w:rPr>
              <w:t>UNVERIFIED</w:t>
            </w:r>
          </w:p>
        </w:tc>
        <w:tc>
          <w:tcPr>
            <w:tcW w:type="dxa" w:w="1077"/>
          </w:tcPr>
          <w:p>
            <w:r/>
            <w:r>
              <w:rPr>
                <w:sz w:val="14"/>
              </w:rPr>
            </w:r>
          </w:p>
        </w:tc>
      </w:tr>
      <w:tr>
        <w:tc>
          <w:tcPr>
            <w:tcW w:type="dxa" w:w="907"/>
          </w:tcPr>
          <w:p>
            <w:r/>
            <w:r>
              <w:rPr>
                <w:sz w:val="14"/>
              </w:rPr>
              <w:t>FIL-01</w:t>
            </w:r>
          </w:p>
        </w:tc>
        <w:tc>
          <w:tcPr>
            <w:tcW w:type="dxa" w:w="3061"/>
          </w:tcPr>
          <w:p>
            <w:r/>
            <w:r>
              <w:rPr>
                <w:sz w:val="14"/>
              </w:rPr>
              <w:t>Filing deadline</w:t>
            </w:r>
          </w:p>
        </w:tc>
        <w:tc>
          <w:tcPr>
            <w:tcW w:type="dxa" w:w="3402"/>
          </w:tcPr>
          <w:p>
            <w:r/>
            <w:r>
              <w:rPr>
                <w:sz w:val="14"/>
              </w:rPr>
              <w:t>Reported in Deloitte / DP Taxation SBR articles; FTA CT returns guide</w:t>
            </w:r>
          </w:p>
        </w:tc>
        <w:tc>
          <w:tcPr>
            <w:tcW w:type="dxa" w:w="1417"/>
          </w:tcPr>
          <w:p>
            <w:r/>
            <w:r>
              <w:rPr>
                <w:sz w:val="14"/>
              </w:rPr>
              <w:t>SECONDARY</w:t>
            </w:r>
          </w:p>
        </w:tc>
        <w:tc>
          <w:tcPr>
            <w:tcW w:type="dxa" w:w="1077"/>
          </w:tcPr>
          <w:p>
            <w:r/>
            <w:r>
              <w:rPr>
                <w:sz w:val="14"/>
              </w:rPr>
              <w:t>2026-10-11</w:t>
            </w:r>
          </w:p>
        </w:tc>
      </w:tr>
    </w:tbl>
    <w:p>
      <w:pPr>
        <w:spacing w:after="40"/>
      </w:pPr>
    </w:p>
    <w:p>
      <w:pPr>
        <w:spacing w:after="80"/>
      </w:pPr>
      <w:r>
        <w:rPr>
          <w:b w:val="0"/>
          <w:i/>
          <w:color w:val="595959"/>
          <w:sz w:val="17"/>
        </w:rPr>
        <w:t>PRIMARY_READ = official text read; SECONDARY = reported by a secondary source only; UNVERIFIED = recalled, not checked. Anything not PRIMARY_READ must be verified against the official source before the figures are relied on.</w:t>
      </w:r>
    </w:p>
    <w:p>
      <w:pPr>
        <w:pStyle w:val="Heading3"/>
      </w:pPr>
      <w:r>
        <w:t>Assumptions and limitations</w:t>
      </w:r>
    </w:p>
    <w:p>
      <w:pPr>
        <w:pStyle w:val="ListBullet"/>
        <w:spacing w:after="40"/>
      </w:pPr>
      <w:r>
        <w:t>Mapping of accounts to statement lines is rule-based; accounts marked for review may be misclassified.</w:t>
      </w:r>
    </w:p>
    <w:p>
      <w:pPr>
        <w:pStyle w:val="ListBullet"/>
        <w:spacing w:after="40"/>
      </w:pPr>
      <w:r>
        <w:t>Opening tax losses, prior-period unrealised amounts and elections are as stated by management and were not verified.</w:t>
      </w:r>
    </w:p>
    <w:p>
      <w:pPr>
        <w:pStyle w:val="ListBullet"/>
        <w:spacing w:after="40"/>
      </w:pPr>
      <w:r>
        <w:t>Entertainment, donation, fine and similar adjustments are derived from account names and narrations; actual composition may differ.</w:t>
      </w:r>
    </w:p>
    <w:p>
      <w:pPr>
        <w:pStyle w:val="ListBullet"/>
        <w:spacing w:after="40"/>
      </w:pPr>
      <w:r>
        <w:t>Tax EBITDA for the interest limitation is approximated from the accounts.</w:t>
      </w:r>
    </w:p>
    <w:p>
      <w:pPr>
        <w:pStyle w:val="ListBullet"/>
        <w:spacing w:after="40"/>
      </w:pPr>
      <w:r>
        <w:t>The tool does not file returns, apply elections or reliefs automatically, or contact the FTA.</w:t>
      </w:r>
    </w:p>
    <w:p>
      <w:pPr>
        <w:pStyle w:val="Heading1"/>
      </w:pPr>
      <w:r>
        <w:t>15. Recommended next steps</w:t>
      </w:r>
    </w:p>
    <w:p>
      <w:pPr>
        <w:pStyle w:val="ListNumber"/>
        <w:spacing w:after="40"/>
      </w:pPr>
      <w:r>
        <w:t>Provide the general ledger so that transaction-level tests can be performed.</w:t>
      </w:r>
    </w:p>
    <w:p>
      <w:pPr>
        <w:pStyle w:val="ListNumber"/>
        <w:spacing w:after="40"/>
      </w:pPr>
      <w:r>
        <w:t>Obtain the documents listed in section 11, starting with the high-risk accounts in section 9.</w:t>
      </w:r>
    </w:p>
    <w:p>
      <w:pPr>
        <w:pStyle w:val="ListNumber"/>
        <w:spacing w:after="40"/>
      </w:pPr>
      <w:r>
        <w:t>Obtain management's answers to the questions in section 12 and record their responses against each flagged item.</w:t>
      </w:r>
    </w:p>
    <w:p>
      <w:pPr>
        <w:pStyle w:val="ListNumber"/>
        <w:spacing w:after="40"/>
      </w:pPr>
      <w:r>
        <w:t>Decide each proposed adjustment (confirm / reject) with the supporting reference; items awaiting evidence stay outside the computation.</w:t>
      </w:r>
    </w:p>
    <w:p>
      <w:pPr>
        <w:pStyle w:val="ListNumber"/>
        <w:spacing w:after="40"/>
      </w:pPr>
      <w:r>
        <w:t>Have a qualified adviser review the technical issues in section 14 and verify the rules marked as secondary or unverified.</w:t>
      </w:r>
    </w:p>
    <w:p>
      <w:pPr>
        <w:pStyle w:val="ListNumber"/>
        <w:spacing w:after="40"/>
      </w:pPr>
      <w:r>
        <w:t>Update the computation, re-issue the workbook, and complete the final professional review before any filing.</w:t>
      </w:r>
    </w:p>
    <w:p>
      <w:pPr>
        <w:pStyle w:val="Heading1"/>
      </w:pPr>
      <w:r>
        <w:t>Appendix A - Reconciliation checks</w:t>
      </w:r>
    </w:p>
    <w:tbl>
      <w:tblPr>
        <w:tblStyle w:val="TableGrid"/>
        <w:tblW w:type="auto" w:w="0"/>
        <w:jc w:val="center"/>
        <w:tblLayout w:type="fixed"/>
        <w:tblLook w:firstColumn="1" w:firstRow="1" w:lastColumn="0" w:lastRow="0" w:noHBand="0" w:noVBand="1" w:val="04A0"/>
      </w:tblPr>
      <w:tblGrid>
        <w:gridCol w:w="1020"/>
        <w:gridCol w:w="2608"/>
        <w:gridCol w:w="794"/>
        <w:gridCol w:w="5443"/>
      </w:tblGrid>
      <w:tr>
        <w:trPr>
          <w:tblHeader w:val="true"/>
        </w:trPr>
        <w:tc>
          <w:tcPr>
            <w:tcW w:type="dxa" w:w="1020"/>
            <w:shd w:val="clear" w:color="auto" w:fill="283A4A"/>
          </w:tcPr>
          <w:p>
            <w:r/>
            <w:r>
              <w:rPr>
                <w:b/>
                <w:color w:val="FFFFFF"/>
                <w:sz w:val="14"/>
              </w:rPr>
              <w:t>ID</w:t>
            </w:r>
          </w:p>
        </w:tc>
        <w:tc>
          <w:tcPr>
            <w:tcW w:type="dxa" w:w="2608"/>
            <w:shd w:val="clear" w:color="auto" w:fill="283A4A"/>
          </w:tcPr>
          <w:p>
            <w:r/>
            <w:r>
              <w:rPr>
                <w:b/>
                <w:color w:val="FFFFFF"/>
                <w:sz w:val="14"/>
              </w:rPr>
              <w:t>Check</w:t>
            </w:r>
          </w:p>
        </w:tc>
        <w:tc>
          <w:tcPr>
            <w:tcW w:type="dxa" w:w="794"/>
            <w:shd w:val="clear" w:color="auto" w:fill="283A4A"/>
          </w:tcPr>
          <w:p>
            <w:r/>
            <w:r>
              <w:rPr>
                <w:b/>
                <w:color w:val="FFFFFF"/>
                <w:sz w:val="14"/>
              </w:rPr>
              <w:t>Result</w:t>
            </w:r>
          </w:p>
        </w:tc>
        <w:tc>
          <w:tcPr>
            <w:tcW w:type="dxa" w:w="5443"/>
            <w:shd w:val="clear" w:color="auto" w:fill="283A4A"/>
          </w:tcPr>
          <w:p>
            <w:r/>
            <w:r>
              <w:rPr>
                <w:b/>
                <w:color w:val="FFFFFF"/>
                <w:sz w:val="14"/>
              </w:rPr>
              <w:t>Detail</w:t>
            </w:r>
          </w:p>
        </w:tc>
      </w:tr>
      <w:tr>
        <w:tc>
          <w:tcPr>
            <w:tcW w:type="dxa" w:w="1020"/>
          </w:tcPr>
          <w:p>
            <w:r/>
            <w:r>
              <w:rPr>
                <w:sz w:val="14"/>
              </w:rPr>
              <w:t>TB-01</w:t>
            </w:r>
          </w:p>
        </w:tc>
        <w:tc>
          <w:tcPr>
            <w:tcW w:type="dxa" w:w="2608"/>
          </w:tcPr>
          <w:p>
            <w:r/>
            <w:r>
              <w:rPr>
                <w:sz w:val="14"/>
              </w:rPr>
              <w:t>Accounts extracted</w:t>
            </w:r>
          </w:p>
        </w:tc>
        <w:tc>
          <w:tcPr>
            <w:tcW w:type="dxa" w:w="794"/>
          </w:tcPr>
          <w:p>
            <w:r/>
            <w:r>
              <w:rPr>
                <w:sz w:val="14"/>
              </w:rPr>
              <w:t>PASS</w:t>
            </w:r>
          </w:p>
        </w:tc>
        <w:tc>
          <w:tcPr>
            <w:tcW w:type="dxa" w:w="5443"/>
          </w:tcPr>
          <w:p>
            <w:r/>
            <w:r>
              <w:rPr>
                <w:sz w:val="14"/>
              </w:rPr>
              <w:t>46 account(s) read from Marjan_Gulf_Trading_TB_31Dec2025.xlsx</w:t>
            </w:r>
          </w:p>
        </w:tc>
      </w:tr>
      <w:tr>
        <w:tc>
          <w:tcPr>
            <w:tcW w:type="dxa" w:w="1020"/>
          </w:tcPr>
          <w:p>
            <w:r/>
            <w:r>
              <w:rPr>
                <w:sz w:val="14"/>
              </w:rPr>
              <w:t>TB-02</w:t>
            </w:r>
          </w:p>
        </w:tc>
        <w:tc>
          <w:tcPr>
            <w:tcW w:type="dxa" w:w="2608"/>
          </w:tcPr>
          <w:p>
            <w:r/>
            <w:r>
              <w:rPr>
                <w:sz w:val="14"/>
              </w:rPr>
              <w:t>TB debits equal credits</w:t>
            </w:r>
          </w:p>
        </w:tc>
        <w:tc>
          <w:tcPr>
            <w:tcW w:type="dxa" w:w="794"/>
          </w:tcPr>
          <w:p>
            <w:r/>
            <w:r>
              <w:rPr>
                <w:sz w:val="14"/>
              </w:rPr>
              <w:t>PASS</w:t>
            </w:r>
          </w:p>
        </w:tc>
        <w:tc>
          <w:tcPr>
            <w:tcW w:type="dxa" w:w="5443"/>
          </w:tcPr>
          <w:p>
            <w:r/>
            <w:r>
              <w:rPr>
                <w:sz w:val="14"/>
              </w:rPr>
              <w:t>Debits 30,042,000.00 / credits 30,042,000.00 / net 0.00 (AED)</w:t>
            </w:r>
          </w:p>
        </w:tc>
      </w:tr>
      <w:tr>
        <w:tc>
          <w:tcPr>
            <w:tcW w:type="dxa" w:w="1020"/>
          </w:tcPr>
          <w:p>
            <w:r/>
            <w:r>
              <w:rPr>
                <w:sz w:val="14"/>
              </w:rPr>
              <w:t>TB-03</w:t>
            </w:r>
          </w:p>
        </w:tc>
        <w:tc>
          <w:tcPr>
            <w:tcW w:type="dxa" w:w="2608"/>
          </w:tcPr>
          <w:p>
            <w:r/>
            <w:r>
              <w:rPr>
                <w:sz w:val="14"/>
              </w:rPr>
              <w:t>Duplicate accounts</w:t>
            </w:r>
          </w:p>
        </w:tc>
        <w:tc>
          <w:tcPr>
            <w:tcW w:type="dxa" w:w="794"/>
          </w:tcPr>
          <w:p>
            <w:r/>
            <w:r>
              <w:rPr>
                <w:sz w:val="14"/>
              </w:rPr>
              <w:t>PASS</w:t>
            </w:r>
          </w:p>
        </w:tc>
        <w:tc>
          <w:tcPr>
            <w:tcW w:type="dxa" w:w="5443"/>
          </w:tcPr>
          <w:p>
            <w:r/>
            <w:r>
              <w:rPr>
                <w:sz w:val="14"/>
              </w:rPr>
              <w:t>No duplicate codes or names.</w:t>
            </w:r>
          </w:p>
        </w:tc>
      </w:tr>
      <w:tr>
        <w:tc>
          <w:tcPr>
            <w:tcW w:type="dxa" w:w="1020"/>
          </w:tcPr>
          <w:p>
            <w:r/>
            <w:r>
              <w:rPr>
                <w:sz w:val="14"/>
              </w:rPr>
              <w:t>MAP-01</w:t>
            </w:r>
          </w:p>
        </w:tc>
        <w:tc>
          <w:tcPr>
            <w:tcW w:type="dxa" w:w="2608"/>
          </w:tcPr>
          <w:p>
            <w:r/>
            <w:r>
              <w:rPr>
                <w:sz w:val="14"/>
              </w:rPr>
              <w:t>Every account mapped</w:t>
            </w:r>
          </w:p>
        </w:tc>
        <w:tc>
          <w:tcPr>
            <w:tcW w:type="dxa" w:w="794"/>
          </w:tcPr>
          <w:p>
            <w:r/>
            <w:r>
              <w:rPr>
                <w:sz w:val="14"/>
              </w:rPr>
              <w:t>PASS</w:t>
            </w:r>
          </w:p>
        </w:tc>
        <w:tc>
          <w:tcPr>
            <w:tcW w:type="dxa" w:w="5443"/>
          </w:tcPr>
          <w:p>
            <w:r/>
            <w:r>
              <w:rPr>
                <w:sz w:val="14"/>
              </w:rPr>
              <w:t>All accounts are mapped to a statement line.</w:t>
            </w:r>
          </w:p>
        </w:tc>
      </w:tr>
      <w:tr>
        <w:tc>
          <w:tcPr>
            <w:tcW w:type="dxa" w:w="1020"/>
          </w:tcPr>
          <w:p>
            <w:r/>
            <w:r>
              <w:rPr>
                <w:sz w:val="14"/>
              </w:rPr>
              <w:t>MAP-02</w:t>
            </w:r>
          </w:p>
        </w:tc>
        <w:tc>
          <w:tcPr>
            <w:tcW w:type="dxa" w:w="2608"/>
          </w:tcPr>
          <w:p>
            <w:r/>
            <w:r>
              <w:rPr>
                <w:sz w:val="14"/>
              </w:rPr>
              <w:t>Accounts mapped only by default classification</w:t>
            </w:r>
          </w:p>
        </w:tc>
        <w:tc>
          <w:tcPr>
            <w:tcW w:type="dxa" w:w="794"/>
          </w:tcPr>
          <w:p>
            <w:r/>
            <w:r>
              <w:rPr>
                <w:sz w:val="14"/>
              </w:rPr>
              <w:t>PASS</w:t>
            </w:r>
          </w:p>
        </w:tc>
        <w:tc>
          <w:tcPr>
            <w:tcW w:type="dxa" w:w="5443"/>
          </w:tcPr>
          <w:p>
            <w:r/>
            <w:r>
              <w:rPr>
                <w:sz w:val="14"/>
              </w:rPr>
              <w:t>No account relied on the default line.</w:t>
            </w:r>
          </w:p>
        </w:tc>
      </w:tr>
      <w:tr>
        <w:tc>
          <w:tcPr>
            <w:tcW w:type="dxa" w:w="1020"/>
          </w:tcPr>
          <w:p>
            <w:r/>
            <w:r>
              <w:rPr>
                <w:sz w:val="14"/>
              </w:rPr>
              <w:t>FS-01</w:t>
            </w:r>
          </w:p>
        </w:tc>
        <w:tc>
          <w:tcPr>
            <w:tcW w:type="dxa" w:w="2608"/>
          </w:tcPr>
          <w:p>
            <w:r/>
            <w:r>
              <w:rPr>
                <w:sz w:val="14"/>
              </w:rPr>
              <w:t>Balance sheet balances</w:t>
            </w:r>
          </w:p>
        </w:tc>
        <w:tc>
          <w:tcPr>
            <w:tcW w:type="dxa" w:w="794"/>
          </w:tcPr>
          <w:p>
            <w:r/>
            <w:r>
              <w:rPr>
                <w:sz w:val="14"/>
              </w:rPr>
              <w:t>PASS</w:t>
            </w:r>
          </w:p>
        </w:tc>
        <w:tc>
          <w:tcPr>
            <w:tcW w:type="dxa" w:w="5443"/>
          </w:tcPr>
          <w:p>
            <w:r/>
            <w:r>
              <w:rPr>
                <w:sz w:val="14"/>
              </w:rPr>
              <w:t>Assets 12,215,000.00 vs liabilities + equity 12,215,000.00 (difference 0.00 AED).</w:t>
            </w:r>
          </w:p>
        </w:tc>
      </w:tr>
      <w:tr>
        <w:tc>
          <w:tcPr>
            <w:tcW w:type="dxa" w:w="1020"/>
          </w:tcPr>
          <w:p>
            <w:r/>
            <w:r>
              <w:rPr>
                <w:sz w:val="14"/>
              </w:rPr>
              <w:t>FS-04</w:t>
            </w:r>
          </w:p>
        </w:tc>
        <w:tc>
          <w:tcPr>
            <w:tcW w:type="dxa" w:w="2608"/>
          </w:tcPr>
          <w:p>
            <w:r/>
            <w:r>
              <w:rPr>
                <w:sz w:val="14"/>
              </w:rPr>
              <w:t>Income statement accounts present</w:t>
            </w:r>
          </w:p>
        </w:tc>
        <w:tc>
          <w:tcPr>
            <w:tcW w:type="dxa" w:w="794"/>
          </w:tcPr>
          <w:p>
            <w:r/>
            <w:r>
              <w:rPr>
                <w:sz w:val="14"/>
              </w:rPr>
              <w:t>PASS</w:t>
            </w:r>
          </w:p>
        </w:tc>
        <w:tc>
          <w:tcPr>
            <w:tcW w:type="dxa" w:w="5443"/>
          </w:tcPr>
          <w:p>
            <w:r/>
            <w:r>
              <w:rPr>
                <w:sz w:val="14"/>
              </w:rPr>
              <w:t>27 income / expense account(s) with a balance.</w:t>
            </w:r>
          </w:p>
        </w:tc>
      </w:tr>
      <w:tr>
        <w:tc>
          <w:tcPr>
            <w:tcW w:type="dxa" w:w="1020"/>
          </w:tcPr>
          <w:p>
            <w:r/>
            <w:r>
              <w:rPr>
                <w:sz w:val="14"/>
              </w:rPr>
              <w:t>FS-02</w:t>
            </w:r>
          </w:p>
        </w:tc>
        <w:tc>
          <w:tcPr>
            <w:tcW w:type="dxa" w:w="2608"/>
          </w:tcPr>
          <w:p>
            <w:r/>
            <w:r>
              <w:rPr>
                <w:sz w:val="14"/>
              </w:rPr>
              <w:t>AED trial balance totals</w:t>
            </w:r>
          </w:p>
        </w:tc>
        <w:tc>
          <w:tcPr>
            <w:tcW w:type="dxa" w:w="794"/>
          </w:tcPr>
          <w:p>
            <w:r/>
            <w:r>
              <w:rPr>
                <w:sz w:val="14"/>
              </w:rPr>
              <w:t>INFO</w:t>
            </w:r>
          </w:p>
        </w:tc>
        <w:tc>
          <w:tcPr>
            <w:tcW w:type="dxa" w:w="5443"/>
          </w:tcPr>
          <w:p>
            <w:r/>
            <w:r>
              <w:rPr>
                <w:sz w:val="14"/>
              </w:rPr>
              <w:t>Sum of AED net balances before any translation difference: 0.00 AED</w:t>
            </w:r>
          </w:p>
        </w:tc>
      </w:tr>
      <w:tr>
        <w:tc>
          <w:tcPr>
            <w:tcW w:type="dxa" w:w="1020"/>
          </w:tcPr>
          <w:p>
            <w:r/>
            <w:r>
              <w:rPr>
                <w:sz w:val="14"/>
              </w:rPr>
              <w:t>CALC-01</w:t>
            </w:r>
          </w:p>
        </w:tc>
        <w:tc>
          <w:tcPr>
            <w:tcW w:type="dxa" w:w="2608"/>
          </w:tcPr>
          <w:p>
            <w:r/>
            <w:r>
              <w:rPr>
                <w:sz w:val="14"/>
              </w:rPr>
              <w:t>Computation starts from P&amp;L profit</w:t>
            </w:r>
          </w:p>
        </w:tc>
        <w:tc>
          <w:tcPr>
            <w:tcW w:type="dxa" w:w="794"/>
          </w:tcPr>
          <w:p>
            <w:r/>
            <w:r>
              <w:rPr>
                <w:sz w:val="14"/>
              </w:rPr>
              <w:t>PASS</w:t>
            </w:r>
          </w:p>
        </w:tc>
        <w:tc>
          <w:tcPr>
            <w:tcW w:type="dxa" w:w="5443"/>
          </w:tcPr>
          <w:p>
            <w:r/>
            <w:r>
              <w:rPr>
                <w:sz w:val="14"/>
              </w:rPr>
              <w:t>Accounting profit used: AED 2,990,000.00; P&amp;L profit: AED 2,990,000.00</w:t>
            </w:r>
          </w:p>
        </w:tc>
      </w:tr>
    </w:tbl>
    <w:p>
      <w:pPr>
        <w:spacing w:after="40"/>
      </w:pPr>
    </w:p>
    <w:p>
      <w:pPr>
        <w:pStyle w:val="Heading2"/>
      </w:pPr>
      <w:r>
        <w:t>Important notice</w:t>
      </w:r>
    </w:p>
    <w:p>
      <w:pPr>
        <w:spacing w:after="80"/>
      </w:pPr>
      <w:r>
        <w:rPr>
          <w:b w:val="0"/>
          <w:i/>
          <w:sz w:val="17"/>
        </w:rPr>
        <w:t>This report is the output of an automated, preliminary review of the trial balance and general ledger supplied. It does not replace a complete professional review of the company's records, contracts, elections and supporting documentation. Figures are draft, in AED, and no tax position has been taken. Items shown as potential adjustments are NOT conclusions that an expense is disallowed or that income is exempt.</w:t>
      </w:r>
    </w:p>
    <w:sectPr w:rsidR="00FC693F" w:rsidRPr="0006063C" w:rsidSect="00034616">
      <w:footerReference w:type="default" r:id="rId9"/>
      <w:pgSz w:w="11906" w:h="16838"/>
      <w:pgMar w:top="1134"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Marjan Gulf Trading LLC (sample) - Corporate Tax review report - DRAFT / PRELIMINARY</w:t>
    </w:r>
  </w:p>
  <w:p>
    <w:pPr>
      <w:jc w:val="center"/>
    </w:pPr>
    <w:r>
      <w:rPr>
        <w:sz w:val="15"/>
      </w:rPr>
      <w:t xml:space="preserve">Page </w:t>
    </w:r>
    <w:r>
      <w:rPr>
        <w:sz w:val="15"/>
      </w:rPr>
      <w:fldChar w:fldCharType="begin"/>
    </w:r>
    <w:r>
      <w:rPr>
        <w:sz w:val="15"/>
      </w:rPr>
      <w:instrText xml:space="preserve">PAGE</w:instrText>
    </w:r>
    <w:r>
      <w:rPr>
        <w:sz w:val="15"/>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b/>
      <w:bCs/>
      <w:color w:val="283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b/>
      <w:bCs/>
      <w:color w:val="283A4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b/>
      <w:bCs/>
      <w:color w:val="283A4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