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Segoe UI" w:hAnsi="Segoe UI"/>
          <w:b/>
          <w:color w:val="1A365D"/>
          <w:sz w:val="44"/>
        </w:rPr>
        <w:t>FINANCIAL STATEMENT ANALYSIS &amp;</w:t>
        <w:br/>
        <w:t>AUDIT-SUPPORT REPORT</w:t>
      </w:r>
    </w:p>
    <w:p>
      <w:pPr>
        <w:jc w:val="center"/>
      </w:pPr>
      <w:r>
        <w:rPr>
          <w:rFonts w:ascii="Segoe UI" w:hAnsi="Segoe UI"/>
          <w:i/>
          <w:color w:val="4A5568"/>
          <w:sz w:val="22"/>
        </w:rPr>
        <w:t>Comprehensive Analytical Procedures &amp; Verification Review</w:t>
        <w:br/>
        <w:t>Generated by AI Auditor V8 (v8.0.0)</w:t>
      </w:r>
    </w:p>
    <w:p>
      <w:pPr>
        <w:spacing w:after="800"/>
      </w:pPr>
    </w:p>
    <w:tbl>
      <w:tblPr>
        <w:tblW w:type="auto" w:w="0"/>
        <w:jc w:val="center"/>
        <w:tblLayout w:type="fixed"/>
        <w:tblLook w:firstColumn="1" w:firstRow="1" w:lastColumn="0" w:lastRow="0" w:noHBand="0" w:noVBand="1" w:val="04A0"/>
      </w:tblPr>
      <w:tblGrid>
        <w:gridCol w:w="5040"/>
        <w:gridCol w:w="5040"/>
      </w:tblGrid>
      <w:tr>
        <w:tc>
          <w:tcPr>
            <w:tcW w:type="dxa" w:w="4032"/>
            <w:shd w:fill="F7FAFC"/>
            <w:tcMar>
              <w:top w:w="60" w:type="dxa"/>
              <w:bottom w:w="60" w:type="dxa"/>
              <w:left w:w="120" w:type="dxa"/>
              <w:right w:w="120" w:type="dxa"/>
            </w:tcMar>
          </w:tcPr>
          <w:p>
            <w:r>
              <w:rPr>
                <w:rFonts w:ascii="Segoe UI" w:hAnsi="Segoe UI"/>
                <w:b/>
                <w:color w:val="2D3748"/>
                <w:sz w:val="20"/>
              </w:rPr>
              <w:t>Target Entity / Company Name:</w:t>
            </w:r>
          </w:p>
        </w:tc>
        <w:tc>
          <w:tcPr>
            <w:tcW w:type="dxa" w:w="5760"/>
            <w:shd w:fill="FFFFFF"/>
            <w:tcMar>
              <w:top w:w="60" w:type="dxa"/>
              <w:bottom w:w="60" w:type="dxa"/>
              <w:left w:w="120" w:type="dxa"/>
              <w:right w:w="120" w:type="dxa"/>
            </w:tcMar>
          </w:tcPr>
          <w:p>
            <w:r>
              <w:rPr>
                <w:rFonts w:ascii="Segoe UI" w:hAnsi="Segoe UI"/>
                <w:sz w:val="20"/>
              </w:rPr>
              <w:t>BHARAT DYNAMICS &amp; HEAVY ENGINEERING LTD</w:t>
            </w:r>
          </w:p>
        </w:tc>
      </w:tr>
      <w:tr>
        <w:tc>
          <w:tcPr>
            <w:tcW w:type="dxa" w:w="4032"/>
            <w:shd w:fill="F7FAFC"/>
            <w:tcMar>
              <w:top w:w="60" w:type="dxa"/>
              <w:bottom w:w="60" w:type="dxa"/>
              <w:left w:w="120" w:type="dxa"/>
              <w:right w:w="120" w:type="dxa"/>
            </w:tcMar>
          </w:tcPr>
          <w:p>
            <w:r>
              <w:rPr>
                <w:rFonts w:ascii="Segoe UI" w:hAnsi="Segoe UI"/>
                <w:b/>
                <w:color w:val="2D3748"/>
                <w:sz w:val="20"/>
              </w:rPr>
              <w:t>Financial Year Covered (Current Period):</w:t>
            </w:r>
          </w:p>
        </w:tc>
        <w:tc>
          <w:tcPr>
            <w:tcW w:type="dxa" w:w="5760"/>
            <w:shd w:fill="FFFFFF"/>
            <w:tcMar>
              <w:top w:w="60" w:type="dxa"/>
              <w:bottom w:w="60" w:type="dxa"/>
              <w:left w:w="120" w:type="dxa"/>
              <w:right w:w="120" w:type="dxa"/>
            </w:tcMar>
          </w:tcPr>
          <w:p>
            <w:r>
              <w:rPr>
                <w:rFonts w:ascii="Segoe UI" w:hAnsi="Segoe UI"/>
                <w:sz w:val="20"/>
              </w:rPr>
              <w:t>FY 2023-24</w:t>
            </w:r>
          </w:p>
        </w:tc>
      </w:tr>
      <w:tr>
        <w:tc>
          <w:tcPr>
            <w:tcW w:type="dxa" w:w="4032"/>
            <w:shd w:fill="F7FAFC"/>
            <w:tcMar>
              <w:top w:w="60" w:type="dxa"/>
              <w:bottom w:w="60" w:type="dxa"/>
              <w:left w:w="120" w:type="dxa"/>
              <w:right w:w="120" w:type="dxa"/>
            </w:tcMar>
          </w:tcPr>
          <w:p>
            <w:r>
              <w:rPr>
                <w:rFonts w:ascii="Segoe UI" w:hAnsi="Segoe UI"/>
                <w:b/>
                <w:color w:val="2D3748"/>
                <w:sz w:val="20"/>
              </w:rPr>
              <w:t>Comparative Period:</w:t>
            </w:r>
          </w:p>
        </w:tc>
        <w:tc>
          <w:tcPr>
            <w:tcW w:type="dxa" w:w="5760"/>
            <w:shd w:fill="FFFFFF"/>
            <w:tcMar>
              <w:top w:w="60" w:type="dxa"/>
              <w:bottom w:w="60" w:type="dxa"/>
              <w:left w:w="120" w:type="dxa"/>
              <w:right w:w="120" w:type="dxa"/>
            </w:tcMar>
          </w:tcPr>
          <w:p>
            <w:r>
              <w:rPr>
                <w:rFonts w:ascii="Segoe UI" w:hAnsi="Segoe UI"/>
                <w:sz w:val="20"/>
              </w:rPr>
              <w:t>FY 2022-23</w:t>
            </w:r>
          </w:p>
        </w:tc>
      </w:tr>
      <w:tr>
        <w:tc>
          <w:tcPr>
            <w:tcW w:type="dxa" w:w="4032"/>
            <w:shd w:fill="F7FAFC"/>
            <w:tcMar>
              <w:top w:w="60" w:type="dxa"/>
              <w:bottom w:w="60" w:type="dxa"/>
              <w:left w:w="120" w:type="dxa"/>
              <w:right w:w="120" w:type="dxa"/>
            </w:tcMar>
          </w:tcPr>
          <w:p>
            <w:r>
              <w:rPr>
                <w:rFonts w:ascii="Segoe UI" w:hAnsi="Segoe UI"/>
                <w:b/>
                <w:color w:val="2D3748"/>
                <w:sz w:val="20"/>
              </w:rPr>
              <w:t>Reporting Currency &amp; Unit Scale:</w:t>
            </w:r>
          </w:p>
        </w:tc>
        <w:tc>
          <w:tcPr>
            <w:tcW w:type="dxa" w:w="5760"/>
            <w:shd w:fill="FFFFFF"/>
            <w:tcMar>
              <w:top w:w="60" w:type="dxa"/>
              <w:bottom w:w="60" w:type="dxa"/>
              <w:left w:w="120" w:type="dxa"/>
              <w:right w:w="120" w:type="dxa"/>
            </w:tcMar>
          </w:tcPr>
          <w:p>
            <w:r>
              <w:rPr>
                <w:rFonts w:ascii="Segoe UI" w:hAnsi="Segoe UI"/>
                <w:sz w:val="20"/>
              </w:rPr>
              <w:t>₹ in Lakhs (1,00,000)</w:t>
            </w:r>
          </w:p>
        </w:tc>
      </w:tr>
      <w:tr>
        <w:tc>
          <w:tcPr>
            <w:tcW w:type="dxa" w:w="4032"/>
            <w:shd w:fill="F7FAFC"/>
            <w:tcMar>
              <w:top w:w="60" w:type="dxa"/>
              <w:bottom w:w="60" w:type="dxa"/>
              <w:left w:w="120" w:type="dxa"/>
              <w:right w:w="120" w:type="dxa"/>
            </w:tcMar>
          </w:tcPr>
          <w:p>
            <w:r>
              <w:rPr>
                <w:rFonts w:ascii="Segoe UI" w:hAnsi="Segoe UI"/>
                <w:b/>
                <w:color w:val="2D3748"/>
                <w:sz w:val="20"/>
              </w:rPr>
              <w:t>Engagement / Review Type:</w:t>
            </w:r>
          </w:p>
        </w:tc>
        <w:tc>
          <w:tcPr>
            <w:tcW w:type="dxa" w:w="5760"/>
            <w:shd w:fill="FFFFFF"/>
            <w:tcMar>
              <w:top w:w="60" w:type="dxa"/>
              <w:bottom w:w="60" w:type="dxa"/>
              <w:left w:w="120" w:type="dxa"/>
              <w:right w:w="120" w:type="dxa"/>
            </w:tcMar>
          </w:tcPr>
          <w:p>
            <w:r>
              <w:rPr>
                <w:rFonts w:ascii="Segoe UI" w:hAnsi="Segoe UI"/>
                <w:sz w:val="20"/>
              </w:rPr>
              <w:t>Statutory / Internal Audit &amp; Credit Appraisal</w:t>
            </w:r>
          </w:p>
        </w:tc>
      </w:tr>
      <w:tr>
        <w:tc>
          <w:tcPr>
            <w:tcW w:type="dxa" w:w="4032"/>
            <w:shd w:fill="F7FAFC"/>
            <w:tcMar>
              <w:top w:w="60" w:type="dxa"/>
              <w:bottom w:w="60" w:type="dxa"/>
              <w:left w:w="120" w:type="dxa"/>
              <w:right w:w="120" w:type="dxa"/>
            </w:tcMar>
          </w:tcPr>
          <w:p>
            <w:r>
              <w:rPr>
                <w:rFonts w:ascii="Segoe UI" w:hAnsi="Segoe UI"/>
                <w:b/>
                <w:color w:val="2D3748"/>
                <w:sz w:val="20"/>
              </w:rPr>
              <w:t>Date of Analytical Review:</w:t>
            </w:r>
          </w:p>
        </w:tc>
        <w:tc>
          <w:tcPr>
            <w:tcW w:type="dxa" w:w="5760"/>
            <w:shd w:fill="FFFFFF"/>
            <w:tcMar>
              <w:top w:w="60" w:type="dxa"/>
              <w:bottom w:w="60" w:type="dxa"/>
              <w:left w:w="120" w:type="dxa"/>
              <w:right w:w="120" w:type="dxa"/>
            </w:tcMar>
          </w:tcPr>
          <w:p>
            <w:r>
              <w:rPr>
                <w:rFonts w:ascii="Segoe UI" w:hAnsi="Segoe UI"/>
                <w:sz w:val="20"/>
              </w:rPr>
              <w:t>05-Sep-2026</w:t>
            </w:r>
          </w:p>
        </w:tc>
      </w:tr>
    </w:tbl>
    <w:p>
      <w:pPr>
        <w:spacing w:after="600"/>
      </w:pPr>
    </w:p>
    <w:p>
      <w:pPr>
        <w:jc w:val="center"/>
      </w:pPr>
      <w:r>
        <w:rPr>
          <w:rFonts w:ascii="Segoe UI" w:hAnsi="Segoe UI"/>
          <w:b/>
          <w:color w:val="718096"/>
          <w:sz w:val="18"/>
        </w:rPr>
        <w:t>CONFIDENTIAL - PREPARED FOR STATUTORY / INTERNAL AUDITORS &amp; LENDERS</w:t>
      </w:r>
    </w:p>
    <w:p>
      <w:r>
        <w:br w:type="page"/>
      </w:r>
    </w:p>
    <w:p>
      <w:pPr>
        <w:pStyle w:val="Heading1"/>
      </w:pPr>
      <w:r>
        <w:rPr>
          <w:rFonts w:ascii="Segoe UI" w:hAnsi="Segoe UI"/>
          <w:color w:val="1A365D"/>
        </w:rPr>
        <w:t>1. Executive Summary &amp; Key Highlights</w:t>
      </w:r>
    </w:p>
    <w:p>
      <w:pPr>
        <w:spacing w:line="276" w:lineRule="auto"/>
      </w:pPr>
      <w:r>
        <w:t>This analytical report presents a comprehensive financial diagnostic of BHARAT DYNAMICS &amp; HEAVY ENGINEERING LTD covering FY 2023-24 in comparison with FY 2022-23. All values are denominated in ₹ in Lakhs (1,00,000).</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A365D"/>
            <w:tcMar>
              <w:top w:w="80" w:type="dxa"/>
              <w:bottom w:w="80" w:type="dxa"/>
              <w:left w:w="120" w:type="dxa"/>
              <w:right w:w="120" w:type="dxa"/>
            </w:tcMar>
          </w:tcPr>
          <w:p>
            <w:pPr>
              <w:jc w:val="left"/>
            </w:pPr>
            <w:r>
              <w:rPr>
                <w:rFonts w:ascii="Segoe UI" w:hAnsi="Segoe UI"/>
                <w:b/>
                <w:color w:val="FFFFFF"/>
                <w:sz w:val="19"/>
              </w:rPr>
              <w:t>Key Financial Indicator</w:t>
            </w:r>
          </w:p>
        </w:tc>
        <w:tc>
          <w:tcPr>
            <w:tcW w:type="dxa" w:w="2016"/>
            <w:shd w:fill="1A365D"/>
            <w:tcMar>
              <w:top w:w="80" w:type="dxa"/>
              <w:bottom w:w="80" w:type="dxa"/>
              <w:left w:w="120" w:type="dxa"/>
              <w:right w:w="120" w:type="dxa"/>
            </w:tcMar>
          </w:tcPr>
          <w:p>
            <w:pPr>
              <w:jc w:val="center"/>
            </w:pPr>
            <w:r>
              <w:rPr>
                <w:rFonts w:ascii="Segoe UI" w:hAnsi="Segoe UI"/>
                <w:b/>
                <w:color w:val="FFFFFF"/>
                <w:sz w:val="19"/>
              </w:rPr>
              <w:t>FY 2023-24</w:t>
            </w:r>
          </w:p>
        </w:tc>
        <w:tc>
          <w:tcPr>
            <w:tcW w:type="dxa" w:w="2016"/>
            <w:shd w:fill="1A365D"/>
            <w:tcMar>
              <w:top w:w="80" w:type="dxa"/>
              <w:bottom w:w="80" w:type="dxa"/>
              <w:left w:w="120" w:type="dxa"/>
              <w:right w:w="120" w:type="dxa"/>
            </w:tcMar>
          </w:tcPr>
          <w:p>
            <w:pPr>
              <w:jc w:val="center"/>
            </w:pPr>
            <w:r>
              <w:rPr>
                <w:rFonts w:ascii="Segoe UI" w:hAnsi="Segoe UI"/>
                <w:b/>
                <w:color w:val="FFFFFF"/>
                <w:sz w:val="19"/>
              </w:rPr>
              <w:t>FY 2022-23</w:t>
            </w:r>
          </w:p>
        </w:tc>
        <w:tc>
          <w:tcPr>
            <w:tcW w:type="dxa" w:w="2016"/>
            <w:shd w:fill="1A365D"/>
            <w:tcMar>
              <w:top w:w="80" w:type="dxa"/>
              <w:bottom w:w="80" w:type="dxa"/>
              <w:left w:w="120" w:type="dxa"/>
              <w:right w:w="120" w:type="dxa"/>
            </w:tcMar>
          </w:tcPr>
          <w:p>
            <w:pPr>
              <w:jc w:val="center"/>
            </w:pPr>
            <w:r>
              <w:rPr>
                <w:rFonts w:ascii="Segoe UI" w:hAnsi="Segoe UI"/>
                <w:b/>
                <w:color w:val="FFFFFF"/>
                <w:sz w:val="19"/>
              </w:rPr>
              <w:t>Abs Change</w:t>
            </w:r>
          </w:p>
        </w:tc>
        <w:tc>
          <w:tcPr>
            <w:tcW w:type="dxa" w:w="2016"/>
            <w:shd w:fill="1A365D"/>
            <w:tcMar>
              <w:top w:w="80" w:type="dxa"/>
              <w:bottom w:w="80" w:type="dxa"/>
              <w:left w:w="120" w:type="dxa"/>
              <w:right w:w="120" w:type="dxa"/>
            </w:tcMar>
          </w:tcPr>
          <w:p>
            <w:pPr>
              <w:jc w:val="center"/>
            </w:pPr>
            <w:r>
              <w:rPr>
                <w:rFonts w:ascii="Segoe UI" w:hAnsi="Segoe UI"/>
                <w:b/>
                <w:color w:val="FFFFFF"/>
                <w:sz w:val="19"/>
              </w:rPr>
              <w:t>YoY % Change</w:t>
            </w:r>
          </w:p>
        </w:tc>
      </w:tr>
      <w:tr>
        <w:tc>
          <w:tcPr>
            <w:tcW w:type="dxa" w:w="2016"/>
            <w:tcMar>
              <w:top w:w="60" w:type="dxa"/>
              <w:bottom w:w="60" w:type="dxa"/>
              <w:left w:w="120" w:type="dxa"/>
              <w:right w:w="120" w:type="dxa"/>
            </w:tcMar>
            <w:shd w:fill="FFFFFF"/>
          </w:tcPr>
          <w:p>
            <w:r>
              <w:rPr>
                <w:b/>
              </w:rPr>
              <w:t>Revenue from Operations</w:t>
            </w:r>
          </w:p>
        </w:tc>
        <w:tc>
          <w:tcPr>
            <w:tcW w:type="dxa" w:w="2016"/>
            <w:tcMar>
              <w:top w:w="60" w:type="dxa"/>
              <w:bottom w:w="60" w:type="dxa"/>
              <w:left w:w="120" w:type="dxa"/>
              <w:right w:w="120" w:type="dxa"/>
            </w:tcMar>
            <w:shd w:fill="FFFFFF"/>
          </w:tcPr>
          <w:p>
            <w:pPr>
              <w:jc w:val="right"/>
            </w:pPr>
            <w:r>
              <w:t>14,500.00</w:t>
            </w:r>
          </w:p>
        </w:tc>
        <w:tc>
          <w:tcPr>
            <w:tcW w:type="dxa" w:w="2016"/>
            <w:tcMar>
              <w:top w:w="60" w:type="dxa"/>
              <w:bottom w:w="60" w:type="dxa"/>
              <w:left w:w="120" w:type="dxa"/>
              <w:right w:w="120" w:type="dxa"/>
            </w:tcMar>
            <w:shd w:fill="FFFFFF"/>
          </w:tcPr>
          <w:p>
            <w:pPr>
              <w:jc w:val="right"/>
            </w:pPr>
            <w:r>
              <w:t>12,200.00</w:t>
            </w:r>
          </w:p>
        </w:tc>
        <w:tc>
          <w:tcPr>
            <w:tcW w:type="dxa" w:w="2016"/>
            <w:tcMar>
              <w:top w:w="60" w:type="dxa"/>
              <w:bottom w:w="60" w:type="dxa"/>
              <w:left w:w="120" w:type="dxa"/>
              <w:right w:w="120" w:type="dxa"/>
            </w:tcMar>
            <w:shd w:fill="FFFFFF"/>
          </w:tcPr>
          <w:p>
            <w:pPr>
              <w:jc w:val="right"/>
            </w:pPr>
            <w:r>
              <w:t>+2,300.00</w:t>
            </w:r>
          </w:p>
        </w:tc>
        <w:tc>
          <w:tcPr>
            <w:tcW w:type="dxa" w:w="2016"/>
            <w:tcMar>
              <w:top w:w="60" w:type="dxa"/>
              <w:bottom w:w="60" w:type="dxa"/>
              <w:left w:w="120" w:type="dxa"/>
              <w:right w:w="120" w:type="dxa"/>
            </w:tcMar>
            <w:shd w:fill="FFFFFF"/>
          </w:tcPr>
          <w:p>
            <w:pPr>
              <w:jc w:val="right"/>
            </w:pPr>
            <w:r>
              <w:t>+18.9%</w:t>
            </w:r>
          </w:p>
        </w:tc>
      </w:tr>
      <w:tr>
        <w:tc>
          <w:tcPr>
            <w:tcW w:type="dxa" w:w="2016"/>
            <w:tcMar>
              <w:top w:w="60" w:type="dxa"/>
              <w:bottom w:w="60" w:type="dxa"/>
              <w:left w:w="120" w:type="dxa"/>
              <w:right w:w="120" w:type="dxa"/>
            </w:tcMar>
            <w:shd w:fill="F7FAFC"/>
          </w:tcPr>
          <w:p>
            <w:r>
              <w:rPr>
                <w:b/>
              </w:rPr>
              <w:t>EBITDA</w:t>
            </w:r>
          </w:p>
        </w:tc>
        <w:tc>
          <w:tcPr>
            <w:tcW w:type="dxa" w:w="2016"/>
            <w:tcMar>
              <w:top w:w="60" w:type="dxa"/>
              <w:bottom w:w="60" w:type="dxa"/>
              <w:left w:w="120" w:type="dxa"/>
              <w:right w:w="120" w:type="dxa"/>
            </w:tcMar>
            <w:shd w:fill="F7FAFC"/>
          </w:tcPr>
          <w:p>
            <w:pPr>
              <w:jc w:val="right"/>
            </w:pPr>
            <w:r>
              <w:t>1,910.00</w:t>
            </w:r>
          </w:p>
        </w:tc>
        <w:tc>
          <w:tcPr>
            <w:tcW w:type="dxa" w:w="2016"/>
            <w:tcMar>
              <w:top w:w="60" w:type="dxa"/>
              <w:bottom w:w="60" w:type="dxa"/>
              <w:left w:w="120" w:type="dxa"/>
              <w:right w:w="120" w:type="dxa"/>
            </w:tcMar>
            <w:shd w:fill="F7FAFC"/>
          </w:tcPr>
          <w:p>
            <w:pPr>
              <w:jc w:val="right"/>
            </w:pPr>
            <w:r>
              <w:t>1,680.00</w:t>
            </w:r>
          </w:p>
        </w:tc>
        <w:tc>
          <w:tcPr>
            <w:tcW w:type="dxa" w:w="2016"/>
            <w:tcMar>
              <w:top w:w="60" w:type="dxa"/>
              <w:bottom w:w="60" w:type="dxa"/>
              <w:left w:w="120" w:type="dxa"/>
              <w:right w:w="120" w:type="dxa"/>
            </w:tcMar>
            <w:shd w:fill="F7FAFC"/>
          </w:tcPr>
          <w:p>
            <w:pPr>
              <w:jc w:val="right"/>
            </w:pPr>
            <w:r>
              <w:t>+230.00</w:t>
            </w:r>
          </w:p>
        </w:tc>
        <w:tc>
          <w:tcPr>
            <w:tcW w:type="dxa" w:w="2016"/>
            <w:tcMar>
              <w:top w:w="60" w:type="dxa"/>
              <w:bottom w:w="60" w:type="dxa"/>
              <w:left w:w="120" w:type="dxa"/>
              <w:right w:w="120" w:type="dxa"/>
            </w:tcMar>
            <w:shd w:fill="F7FAFC"/>
          </w:tcPr>
          <w:p>
            <w:pPr>
              <w:jc w:val="right"/>
            </w:pPr>
            <w:r>
              <w:t>+13.7%</w:t>
            </w:r>
          </w:p>
        </w:tc>
      </w:tr>
      <w:tr>
        <w:tc>
          <w:tcPr>
            <w:tcW w:type="dxa" w:w="2016"/>
            <w:tcMar>
              <w:top w:w="60" w:type="dxa"/>
              <w:bottom w:w="60" w:type="dxa"/>
              <w:left w:w="120" w:type="dxa"/>
              <w:right w:w="120" w:type="dxa"/>
            </w:tcMar>
            <w:shd w:fill="FFFFFF"/>
          </w:tcPr>
          <w:p>
            <w:r>
              <w:rPr>
                <w:b/>
              </w:rPr>
              <w:t>Profit After Tax (PAT)</w:t>
            </w:r>
          </w:p>
        </w:tc>
        <w:tc>
          <w:tcPr>
            <w:tcW w:type="dxa" w:w="2016"/>
            <w:tcMar>
              <w:top w:w="60" w:type="dxa"/>
              <w:bottom w:w="60" w:type="dxa"/>
              <w:left w:w="120" w:type="dxa"/>
              <w:right w:w="120" w:type="dxa"/>
            </w:tcMar>
            <w:shd w:fill="FFFFFF"/>
          </w:tcPr>
          <w:p>
            <w:pPr>
              <w:jc w:val="right"/>
            </w:pPr>
            <w:r>
              <w:t>1,070.00</w:t>
            </w:r>
          </w:p>
        </w:tc>
        <w:tc>
          <w:tcPr>
            <w:tcW w:type="dxa" w:w="2016"/>
            <w:tcMar>
              <w:top w:w="60" w:type="dxa"/>
              <w:bottom w:w="60" w:type="dxa"/>
              <w:left w:w="120" w:type="dxa"/>
              <w:right w:w="120" w:type="dxa"/>
            </w:tcMar>
            <w:shd w:fill="FFFFFF"/>
          </w:tcPr>
          <w:p>
            <w:pPr>
              <w:jc w:val="right"/>
            </w:pPr>
            <w:r>
              <w:t>945.00</w:t>
            </w:r>
          </w:p>
        </w:tc>
        <w:tc>
          <w:tcPr>
            <w:tcW w:type="dxa" w:w="2016"/>
            <w:tcMar>
              <w:top w:w="60" w:type="dxa"/>
              <w:bottom w:w="60" w:type="dxa"/>
              <w:left w:w="120" w:type="dxa"/>
              <w:right w:w="120" w:type="dxa"/>
            </w:tcMar>
            <w:shd w:fill="FFFFFF"/>
          </w:tcPr>
          <w:p>
            <w:pPr>
              <w:jc w:val="right"/>
            </w:pPr>
            <w:r>
              <w:t>+125.00</w:t>
            </w:r>
          </w:p>
        </w:tc>
        <w:tc>
          <w:tcPr>
            <w:tcW w:type="dxa" w:w="2016"/>
            <w:tcMar>
              <w:top w:w="60" w:type="dxa"/>
              <w:bottom w:w="60" w:type="dxa"/>
              <w:left w:w="120" w:type="dxa"/>
              <w:right w:w="120" w:type="dxa"/>
            </w:tcMar>
            <w:shd w:fill="FFFFFF"/>
          </w:tcPr>
          <w:p>
            <w:pPr>
              <w:jc w:val="right"/>
            </w:pPr>
            <w:r>
              <w:t>+13.2%</w:t>
            </w:r>
          </w:p>
        </w:tc>
      </w:tr>
    </w:tbl>
    <w:p>
      <w:pPr>
        <w:spacing w:after="240"/>
      </w:pPr>
    </w:p>
    <w:p>
      <w:pPr>
        <w:pStyle w:val="Heading1"/>
      </w:pPr>
      <w:r>
        <w:rPr>
          <w:rFonts w:ascii="Segoe UI" w:hAnsi="Segoe UI"/>
          <w:color w:val="1A365D"/>
        </w:rPr>
        <w:t>2. Financial Statements Summary</w:t>
      </w:r>
    </w:p>
    <w:p>
      <w:pPr>
        <w:pStyle w:val="Heading2"/>
      </w:pPr>
      <w:r>
        <w:rPr>
          <w:rFonts w:ascii="Segoe UI" w:hAnsi="Segoe UI"/>
          <w:color w:val="2B6CB0"/>
        </w:rPr>
        <w:t>Balance Sheet Extract</w:t>
      </w:r>
    </w:p>
    <w:tbl>
      <w:tblPr>
        <w:tblW w:type="auto" w:w="0"/>
        <w:jc w:val="center"/>
        <w:tblLook w:firstColumn="1" w:firstRow="1" w:lastColumn="0" w:lastRow="0" w:noHBand="0" w:noVBand="1" w:val="04A0"/>
      </w:tblPr>
      <w:tblGrid>
        <w:gridCol w:w="3360"/>
        <w:gridCol w:w="3360"/>
        <w:gridCol w:w="3360"/>
      </w:tblGrid>
      <w:tr>
        <w:tc>
          <w:tcPr>
            <w:tcW w:type="dxa" w:w="3360"/>
            <w:shd w:fill="2B6CB0"/>
          </w:tcPr>
          <w:p>
            <w:pPr>
              <w:jc w:val="left"/>
            </w:pPr>
            <w:r>
              <w:rPr>
                <w:rFonts w:ascii="Segoe UI" w:hAnsi="Segoe UI"/>
                <w:b/>
                <w:color w:val="FFFFFF"/>
                <w:sz w:val="18"/>
              </w:rPr>
              <w:t>Line Item</w:t>
            </w:r>
          </w:p>
        </w:tc>
        <w:tc>
          <w:tcPr>
            <w:tcW w:type="dxa" w:w="3360"/>
            <w:shd w:fill="2B6CB0"/>
          </w:tcPr>
          <w:p>
            <w:pPr>
              <w:jc w:val="right"/>
            </w:pPr>
            <w:r>
              <w:rPr>
                <w:rFonts w:ascii="Segoe UI" w:hAnsi="Segoe UI"/>
                <w:b/>
                <w:color w:val="FFFFFF"/>
                <w:sz w:val="18"/>
              </w:rPr>
              <w:t>FY 2023-24</w:t>
            </w:r>
          </w:p>
        </w:tc>
        <w:tc>
          <w:tcPr>
            <w:tcW w:type="dxa" w:w="3360"/>
            <w:shd w:fill="2B6CB0"/>
          </w:tcPr>
          <w:p>
            <w:pPr>
              <w:jc w:val="right"/>
            </w:pPr>
            <w:r>
              <w:rPr>
                <w:rFonts w:ascii="Segoe UI" w:hAnsi="Segoe UI"/>
                <w:b/>
                <w:color w:val="FFFFFF"/>
                <w:sz w:val="18"/>
              </w:rPr>
              <w:t>FY 2022-23</w:t>
            </w:r>
          </w:p>
        </w:tc>
      </w:tr>
      <w:tr>
        <w:tc>
          <w:tcPr>
            <w:tcW w:type="dxa" w:w="3360"/>
            <w:shd w:fill="FFFFFF"/>
          </w:tcPr>
          <w:p>
            <w:r>
              <w:rPr>
                <w:sz w:val="17"/>
              </w:rPr>
              <w:t>Share Capital</w:t>
            </w:r>
          </w:p>
        </w:tc>
        <w:tc>
          <w:tcPr>
            <w:tcW w:type="dxa" w:w="3360"/>
            <w:shd w:fill="FFFFFF"/>
          </w:tcPr>
          <w:p>
            <w:pPr>
              <w:jc w:val="right"/>
            </w:pPr>
            <w:r>
              <w:rPr>
                <w:sz w:val="17"/>
              </w:rPr>
              <w:t>1,250.00</w:t>
            </w:r>
          </w:p>
        </w:tc>
        <w:tc>
          <w:tcPr>
            <w:tcW w:type="dxa" w:w="3360"/>
            <w:shd w:fill="FFFFFF"/>
          </w:tcPr>
          <w:p>
            <w:pPr>
              <w:jc w:val="right"/>
            </w:pPr>
            <w:r>
              <w:rPr>
                <w:sz w:val="17"/>
              </w:rPr>
              <w:t>1,250.00</w:t>
            </w:r>
          </w:p>
        </w:tc>
      </w:tr>
      <w:tr>
        <w:tc>
          <w:tcPr>
            <w:tcW w:type="dxa" w:w="3360"/>
            <w:shd w:fill="F7FAFC"/>
          </w:tcPr>
          <w:p>
            <w:r>
              <w:rPr>
                <w:sz w:val="17"/>
              </w:rPr>
              <w:t>Reserves and Surplus</w:t>
            </w:r>
          </w:p>
        </w:tc>
        <w:tc>
          <w:tcPr>
            <w:tcW w:type="dxa" w:w="3360"/>
            <w:shd w:fill="F7FAFC"/>
          </w:tcPr>
          <w:p>
            <w:pPr>
              <w:jc w:val="right"/>
            </w:pPr>
            <w:r>
              <w:rPr>
                <w:sz w:val="17"/>
              </w:rPr>
              <w:t>4,850.50</w:t>
            </w:r>
          </w:p>
        </w:tc>
        <w:tc>
          <w:tcPr>
            <w:tcW w:type="dxa" w:w="3360"/>
            <w:shd w:fill="F7FAFC"/>
          </w:tcPr>
          <w:p>
            <w:pPr>
              <w:jc w:val="right"/>
            </w:pPr>
            <w:r>
              <w:rPr>
                <w:sz w:val="17"/>
              </w:rPr>
              <w:t>4,210.00</w:t>
            </w:r>
          </w:p>
        </w:tc>
      </w:tr>
      <w:tr>
        <w:tc>
          <w:tcPr>
            <w:tcW w:type="dxa" w:w="3360"/>
            <w:shd w:fill="FFFFFF"/>
          </w:tcPr>
          <w:p>
            <w:r>
              <w:rPr>
                <w:sz w:val="17"/>
              </w:rPr>
              <w:t>Long-Term Borrowings (Term Loans)</w:t>
            </w:r>
          </w:p>
        </w:tc>
        <w:tc>
          <w:tcPr>
            <w:tcW w:type="dxa" w:w="3360"/>
            <w:shd w:fill="FFFFFF"/>
          </w:tcPr>
          <w:p>
            <w:pPr>
              <w:jc w:val="right"/>
            </w:pPr>
            <w:r>
              <w:rPr>
                <w:sz w:val="17"/>
              </w:rPr>
              <w:t>2,100.00</w:t>
            </w:r>
          </w:p>
        </w:tc>
        <w:tc>
          <w:tcPr>
            <w:tcW w:type="dxa" w:w="3360"/>
            <w:shd w:fill="FFFFFF"/>
          </w:tcPr>
          <w:p>
            <w:pPr>
              <w:jc w:val="right"/>
            </w:pPr>
            <w:r>
              <w:rPr>
                <w:sz w:val="17"/>
              </w:rPr>
              <w:t>1,650.00</w:t>
            </w:r>
          </w:p>
        </w:tc>
      </w:tr>
      <w:tr>
        <w:tc>
          <w:tcPr>
            <w:tcW w:type="dxa" w:w="3360"/>
            <w:shd w:fill="F7FAFC"/>
          </w:tcPr>
          <w:p>
            <w:r>
              <w:rPr>
                <w:sz w:val="17"/>
              </w:rPr>
              <w:t>Deferred Tax Liabilities (Net)</w:t>
            </w:r>
          </w:p>
        </w:tc>
        <w:tc>
          <w:tcPr>
            <w:tcW w:type="dxa" w:w="3360"/>
            <w:shd w:fill="F7FAFC"/>
          </w:tcPr>
          <w:p>
            <w:pPr>
              <w:jc w:val="right"/>
            </w:pPr>
            <w:r>
              <w:rPr>
                <w:sz w:val="17"/>
              </w:rPr>
              <w:t>320.00</w:t>
            </w:r>
          </w:p>
        </w:tc>
        <w:tc>
          <w:tcPr>
            <w:tcW w:type="dxa" w:w="3360"/>
            <w:shd w:fill="F7FAFC"/>
          </w:tcPr>
          <w:p>
            <w:pPr>
              <w:jc w:val="right"/>
            </w:pPr>
            <w:r>
              <w:rPr>
                <w:sz w:val="17"/>
              </w:rPr>
              <w:t>290.00</w:t>
            </w:r>
          </w:p>
        </w:tc>
      </w:tr>
      <w:tr>
        <w:tc>
          <w:tcPr>
            <w:tcW w:type="dxa" w:w="3360"/>
            <w:shd w:fill="FFFFFF"/>
          </w:tcPr>
          <w:p>
            <w:r>
              <w:rPr>
                <w:sz w:val="17"/>
              </w:rPr>
              <w:t>Short-Term Borrowings (Cash Credit Limits)</w:t>
            </w:r>
          </w:p>
        </w:tc>
        <w:tc>
          <w:tcPr>
            <w:tcW w:type="dxa" w:w="3360"/>
            <w:shd w:fill="FFFFFF"/>
          </w:tcPr>
          <w:p>
            <w:pPr>
              <w:jc w:val="right"/>
            </w:pPr>
            <w:r>
              <w:rPr>
                <w:sz w:val="17"/>
              </w:rPr>
              <w:t>1,850.00</w:t>
            </w:r>
          </w:p>
        </w:tc>
        <w:tc>
          <w:tcPr>
            <w:tcW w:type="dxa" w:w="3360"/>
            <w:shd w:fill="FFFFFF"/>
          </w:tcPr>
          <w:p>
            <w:pPr>
              <w:jc w:val="right"/>
            </w:pPr>
            <w:r>
              <w:rPr>
                <w:sz w:val="17"/>
              </w:rPr>
              <w:t>1,200.00</w:t>
            </w:r>
          </w:p>
        </w:tc>
      </w:tr>
      <w:tr>
        <w:tc>
          <w:tcPr>
            <w:tcW w:type="dxa" w:w="3360"/>
            <w:shd w:fill="F7FAFC"/>
          </w:tcPr>
          <w:p>
            <w:r>
              <w:rPr>
                <w:sz w:val="17"/>
              </w:rPr>
              <w:t>Trade Payables</w:t>
            </w:r>
          </w:p>
        </w:tc>
        <w:tc>
          <w:tcPr>
            <w:tcW w:type="dxa" w:w="3360"/>
            <w:shd w:fill="F7FAFC"/>
          </w:tcPr>
          <w:p>
            <w:pPr>
              <w:jc w:val="right"/>
            </w:pPr>
            <w:r>
              <w:rPr>
                <w:sz w:val="17"/>
              </w:rPr>
              <w:t>1,420.00</w:t>
            </w:r>
          </w:p>
        </w:tc>
        <w:tc>
          <w:tcPr>
            <w:tcW w:type="dxa" w:w="3360"/>
            <w:shd w:fill="F7FAFC"/>
          </w:tcPr>
          <w:p>
            <w:pPr>
              <w:jc w:val="right"/>
            </w:pPr>
            <w:r>
              <w:rPr>
                <w:sz w:val="17"/>
              </w:rPr>
              <w:t>1,150.00</w:t>
            </w:r>
          </w:p>
        </w:tc>
      </w:tr>
      <w:tr>
        <w:tc>
          <w:tcPr>
            <w:tcW w:type="dxa" w:w="3360"/>
            <w:shd w:fill="FFFFFF"/>
          </w:tcPr>
          <w:p>
            <w:r>
              <w:rPr>
                <w:sz w:val="17"/>
              </w:rPr>
              <w:t>Other Current Liabilities &amp; Provisions</w:t>
            </w:r>
          </w:p>
        </w:tc>
        <w:tc>
          <w:tcPr>
            <w:tcW w:type="dxa" w:w="3360"/>
            <w:shd w:fill="FFFFFF"/>
          </w:tcPr>
          <w:p>
            <w:pPr>
              <w:jc w:val="right"/>
            </w:pPr>
            <w:r>
              <w:rPr>
                <w:sz w:val="17"/>
              </w:rPr>
              <w:t>460.00</w:t>
            </w:r>
          </w:p>
        </w:tc>
        <w:tc>
          <w:tcPr>
            <w:tcW w:type="dxa" w:w="3360"/>
            <w:shd w:fill="FFFFFF"/>
          </w:tcPr>
          <w:p>
            <w:pPr>
              <w:jc w:val="right"/>
            </w:pPr>
            <w:r>
              <w:rPr>
                <w:sz w:val="17"/>
              </w:rPr>
              <w:t>380.00</w:t>
            </w:r>
          </w:p>
        </w:tc>
      </w:tr>
      <w:tr>
        <w:tc>
          <w:tcPr>
            <w:tcW w:type="dxa" w:w="3360"/>
            <w:shd w:fill="F7FAFC"/>
          </w:tcPr>
          <w:p>
            <w:r>
              <w:rPr>
                <w:sz w:val="17"/>
              </w:rPr>
              <w:t>TOTAL EQUITY AND LIABILITIES</w:t>
            </w:r>
          </w:p>
        </w:tc>
        <w:tc>
          <w:tcPr>
            <w:tcW w:type="dxa" w:w="3360"/>
            <w:shd w:fill="F7FAFC"/>
          </w:tcPr>
          <w:p>
            <w:pPr>
              <w:jc w:val="right"/>
            </w:pPr>
            <w:r>
              <w:rPr>
                <w:sz w:val="17"/>
              </w:rPr>
              <w:t>12,250.50</w:t>
            </w:r>
          </w:p>
        </w:tc>
        <w:tc>
          <w:tcPr>
            <w:tcW w:type="dxa" w:w="3360"/>
            <w:shd w:fill="F7FAFC"/>
          </w:tcPr>
          <w:p>
            <w:pPr>
              <w:jc w:val="right"/>
            </w:pPr>
            <w:r>
              <w:rPr>
                <w:sz w:val="17"/>
              </w:rPr>
              <w:t>10,130.00</w:t>
            </w:r>
          </w:p>
        </w:tc>
      </w:tr>
      <w:tr>
        <w:tc>
          <w:tcPr>
            <w:tcW w:type="dxa" w:w="3360"/>
            <w:shd w:fill="FFFFFF"/>
          </w:tcPr>
          <w:p>
            <w:r>
              <w:rPr>
                <w:sz w:val="17"/>
              </w:rPr>
              <w:t>Property, Plant and Equipment (Gross Block)</w:t>
            </w:r>
          </w:p>
        </w:tc>
        <w:tc>
          <w:tcPr>
            <w:tcW w:type="dxa" w:w="3360"/>
            <w:shd w:fill="FFFFFF"/>
          </w:tcPr>
          <w:p>
            <w:pPr>
              <w:jc w:val="right"/>
            </w:pPr>
            <w:r>
              <w:rPr>
                <w:sz w:val="17"/>
              </w:rPr>
              <w:t>5,400.00</w:t>
            </w:r>
          </w:p>
        </w:tc>
        <w:tc>
          <w:tcPr>
            <w:tcW w:type="dxa" w:w="3360"/>
            <w:shd w:fill="FFFFFF"/>
          </w:tcPr>
          <w:p>
            <w:pPr>
              <w:jc w:val="right"/>
            </w:pPr>
            <w:r>
              <w:rPr>
                <w:sz w:val="17"/>
              </w:rPr>
              <w:t>4,600.00</w:t>
            </w:r>
          </w:p>
        </w:tc>
      </w:tr>
      <w:tr>
        <w:tc>
          <w:tcPr>
            <w:tcW w:type="dxa" w:w="3360"/>
            <w:shd w:fill="F7FAFC"/>
          </w:tcPr>
          <w:p>
            <w:r>
              <w:rPr>
                <w:sz w:val="17"/>
              </w:rPr>
              <w:t>Capital Work-in-Progress (CWIP)</w:t>
            </w:r>
          </w:p>
        </w:tc>
        <w:tc>
          <w:tcPr>
            <w:tcW w:type="dxa" w:w="3360"/>
            <w:shd w:fill="F7FAFC"/>
          </w:tcPr>
          <w:p>
            <w:pPr>
              <w:jc w:val="right"/>
            </w:pPr>
            <w:r>
              <w:rPr>
                <w:sz w:val="17"/>
              </w:rPr>
              <w:t>450.00</w:t>
            </w:r>
          </w:p>
        </w:tc>
        <w:tc>
          <w:tcPr>
            <w:tcW w:type="dxa" w:w="3360"/>
            <w:shd w:fill="F7FAFC"/>
          </w:tcPr>
          <w:p>
            <w:pPr>
              <w:jc w:val="right"/>
            </w:pPr>
            <w:r>
              <w:rPr>
                <w:sz w:val="17"/>
              </w:rPr>
              <w:t>210.00</w:t>
            </w:r>
          </w:p>
        </w:tc>
      </w:tr>
      <w:tr>
        <w:tc>
          <w:tcPr>
            <w:tcW w:type="dxa" w:w="3360"/>
            <w:shd w:fill="FFFFFF"/>
          </w:tcPr>
          <w:p>
            <w:r>
              <w:rPr>
                <w:sz w:val="17"/>
              </w:rPr>
              <w:t>Non-Current Investments</w:t>
            </w:r>
          </w:p>
        </w:tc>
        <w:tc>
          <w:tcPr>
            <w:tcW w:type="dxa" w:w="3360"/>
            <w:shd w:fill="FFFFFF"/>
          </w:tcPr>
          <w:p>
            <w:pPr>
              <w:jc w:val="right"/>
            </w:pPr>
            <w:r>
              <w:rPr>
                <w:sz w:val="17"/>
              </w:rPr>
              <w:t>820.00</w:t>
            </w:r>
          </w:p>
        </w:tc>
        <w:tc>
          <w:tcPr>
            <w:tcW w:type="dxa" w:w="3360"/>
            <w:shd w:fill="FFFFFF"/>
          </w:tcPr>
          <w:p>
            <w:pPr>
              <w:jc w:val="right"/>
            </w:pPr>
            <w:r>
              <w:rPr>
                <w:sz w:val="17"/>
              </w:rPr>
              <w:t>800.00</w:t>
            </w:r>
          </w:p>
        </w:tc>
      </w:tr>
      <w:tr>
        <w:tc>
          <w:tcPr>
            <w:tcW w:type="dxa" w:w="3360"/>
            <w:shd w:fill="F7FAFC"/>
          </w:tcPr>
          <w:p>
            <w:r>
              <w:rPr>
                <w:sz w:val="17"/>
              </w:rPr>
              <w:t>Other Non-Current Assets</w:t>
            </w:r>
          </w:p>
        </w:tc>
        <w:tc>
          <w:tcPr>
            <w:tcW w:type="dxa" w:w="3360"/>
            <w:shd w:fill="F7FAFC"/>
          </w:tcPr>
          <w:p>
            <w:pPr>
              <w:jc w:val="right"/>
            </w:pPr>
            <w:r>
              <w:rPr>
                <w:sz w:val="17"/>
              </w:rPr>
              <w:t>280.50</w:t>
            </w:r>
          </w:p>
        </w:tc>
        <w:tc>
          <w:tcPr>
            <w:tcW w:type="dxa" w:w="3360"/>
            <w:shd w:fill="F7FAFC"/>
          </w:tcPr>
          <w:p>
            <w:pPr>
              <w:jc w:val="right"/>
            </w:pPr>
            <w:r>
              <w:rPr>
                <w:sz w:val="17"/>
              </w:rPr>
              <w:t>220.00</w:t>
            </w:r>
          </w:p>
        </w:tc>
      </w:tr>
      <w:tr>
        <w:tc>
          <w:tcPr>
            <w:tcW w:type="dxa" w:w="3360"/>
            <w:shd w:fill="FFFFFF"/>
          </w:tcPr>
          <w:p>
            <w:r>
              <w:rPr>
                <w:sz w:val="17"/>
              </w:rPr>
              <w:t>Inventories (Raw Material, WIP, FG)</w:t>
            </w:r>
          </w:p>
        </w:tc>
        <w:tc>
          <w:tcPr>
            <w:tcW w:type="dxa" w:w="3360"/>
            <w:shd w:fill="FFFFFF"/>
          </w:tcPr>
          <w:p>
            <w:pPr>
              <w:jc w:val="right"/>
            </w:pPr>
            <w:r>
              <w:rPr>
                <w:sz w:val="17"/>
              </w:rPr>
              <w:t>2,350.00</w:t>
            </w:r>
          </w:p>
        </w:tc>
        <w:tc>
          <w:tcPr>
            <w:tcW w:type="dxa" w:w="3360"/>
            <w:shd w:fill="FFFFFF"/>
          </w:tcPr>
          <w:p>
            <w:pPr>
              <w:jc w:val="right"/>
            </w:pPr>
            <w:r>
              <w:rPr>
                <w:sz w:val="17"/>
              </w:rPr>
              <w:t>1,850.00</w:t>
            </w:r>
          </w:p>
        </w:tc>
      </w:tr>
      <w:tr>
        <w:tc>
          <w:tcPr>
            <w:tcW w:type="dxa" w:w="3360"/>
            <w:shd w:fill="F7FAFC"/>
          </w:tcPr>
          <w:p>
            <w:r>
              <w:rPr>
                <w:sz w:val="17"/>
              </w:rPr>
              <w:t>Trade Receivables (Debtors)</w:t>
            </w:r>
          </w:p>
        </w:tc>
        <w:tc>
          <w:tcPr>
            <w:tcW w:type="dxa" w:w="3360"/>
            <w:shd w:fill="F7FAFC"/>
          </w:tcPr>
          <w:p>
            <w:pPr>
              <w:jc w:val="right"/>
            </w:pPr>
            <w:r>
              <w:rPr>
                <w:sz w:val="17"/>
              </w:rPr>
              <w:t>2,210.00</w:t>
            </w:r>
          </w:p>
        </w:tc>
        <w:tc>
          <w:tcPr>
            <w:tcW w:type="dxa" w:w="3360"/>
            <w:shd w:fill="F7FAFC"/>
          </w:tcPr>
          <w:p>
            <w:pPr>
              <w:jc w:val="right"/>
            </w:pPr>
            <w:r>
              <w:rPr>
                <w:sz w:val="17"/>
              </w:rPr>
              <w:t>1,720.00</w:t>
            </w:r>
          </w:p>
        </w:tc>
      </w:tr>
      <w:tr>
        <w:tc>
          <w:tcPr>
            <w:tcW w:type="dxa" w:w="3360"/>
            <w:shd w:fill="FFFFFF"/>
          </w:tcPr>
          <w:p>
            <w:r>
              <w:rPr>
                <w:sz w:val="17"/>
              </w:rPr>
              <w:t>Cash and Cash Equivalents</w:t>
            </w:r>
          </w:p>
        </w:tc>
        <w:tc>
          <w:tcPr>
            <w:tcW w:type="dxa" w:w="3360"/>
            <w:shd w:fill="FFFFFF"/>
          </w:tcPr>
          <w:p>
            <w:pPr>
              <w:jc w:val="right"/>
            </w:pPr>
            <w:r>
              <w:rPr>
                <w:sz w:val="17"/>
              </w:rPr>
              <w:t>390.00</w:t>
            </w:r>
          </w:p>
        </w:tc>
        <w:tc>
          <w:tcPr>
            <w:tcW w:type="dxa" w:w="3360"/>
            <w:shd w:fill="FFFFFF"/>
          </w:tcPr>
          <w:p>
            <w:pPr>
              <w:jc w:val="right"/>
            </w:pPr>
            <w:r>
              <w:rPr>
                <w:sz w:val="17"/>
              </w:rPr>
              <w:t>410.00</w:t>
            </w:r>
          </w:p>
        </w:tc>
      </w:tr>
    </w:tbl>
    <w:p>
      <w:pPr>
        <w:spacing w:after="200"/>
      </w:pPr>
    </w:p>
    <w:p>
      <w:pPr>
        <w:pStyle w:val="Heading2"/>
      </w:pPr>
      <w:r>
        <w:rPr>
          <w:rFonts w:ascii="Segoe UI" w:hAnsi="Segoe UI"/>
          <w:color w:val="2B6CB0"/>
        </w:rPr>
        <w:t>Profit &amp; Loss Statement Extract</w:t>
      </w:r>
    </w:p>
    <w:tbl>
      <w:tblPr>
        <w:tblW w:type="auto" w:w="0"/>
        <w:jc w:val="center"/>
        <w:tblLook w:firstColumn="1" w:firstRow="1" w:lastColumn="0" w:lastRow="0" w:noHBand="0" w:noVBand="1" w:val="04A0"/>
      </w:tblPr>
      <w:tblGrid>
        <w:gridCol w:w="3360"/>
        <w:gridCol w:w="3360"/>
        <w:gridCol w:w="3360"/>
      </w:tblGrid>
      <w:tr>
        <w:tc>
          <w:tcPr>
            <w:tcW w:type="dxa" w:w="3360"/>
            <w:shd w:fill="2B6CB0"/>
          </w:tcPr>
          <w:p>
            <w:pPr>
              <w:jc w:val="left"/>
            </w:pPr>
            <w:r>
              <w:rPr>
                <w:rFonts w:ascii="Segoe UI" w:hAnsi="Segoe UI"/>
                <w:b/>
                <w:color w:val="FFFFFF"/>
                <w:sz w:val="18"/>
              </w:rPr>
              <w:t>Line Item</w:t>
            </w:r>
          </w:p>
        </w:tc>
        <w:tc>
          <w:tcPr>
            <w:tcW w:type="dxa" w:w="3360"/>
            <w:shd w:fill="2B6CB0"/>
          </w:tcPr>
          <w:p>
            <w:pPr>
              <w:jc w:val="right"/>
            </w:pPr>
            <w:r>
              <w:rPr>
                <w:rFonts w:ascii="Segoe UI" w:hAnsi="Segoe UI"/>
                <w:b/>
                <w:color w:val="FFFFFF"/>
                <w:sz w:val="18"/>
              </w:rPr>
              <w:t>FY 2023-24</w:t>
            </w:r>
          </w:p>
        </w:tc>
        <w:tc>
          <w:tcPr>
            <w:tcW w:type="dxa" w:w="3360"/>
            <w:shd w:fill="2B6CB0"/>
          </w:tcPr>
          <w:p>
            <w:pPr>
              <w:jc w:val="right"/>
            </w:pPr>
            <w:r>
              <w:rPr>
                <w:rFonts w:ascii="Segoe UI" w:hAnsi="Segoe UI"/>
                <w:b/>
                <w:color w:val="FFFFFF"/>
                <w:sz w:val="18"/>
              </w:rPr>
              <w:t>FY 2022-23</w:t>
            </w:r>
          </w:p>
        </w:tc>
      </w:tr>
      <w:tr>
        <w:tc>
          <w:tcPr>
            <w:tcW w:type="dxa" w:w="3360"/>
            <w:shd w:fill="FFFFFF"/>
          </w:tcPr>
          <w:p>
            <w:r>
              <w:rPr>
                <w:sz w:val="17"/>
              </w:rPr>
              <w:t>Revenue from Operations (Gross Sales)</w:t>
            </w:r>
          </w:p>
        </w:tc>
        <w:tc>
          <w:tcPr>
            <w:tcW w:type="dxa" w:w="3360"/>
            <w:shd w:fill="FFFFFF"/>
          </w:tcPr>
          <w:p>
            <w:pPr>
              <w:jc w:val="right"/>
            </w:pPr>
            <w:r>
              <w:rPr>
                <w:sz w:val="17"/>
              </w:rPr>
              <w:t>14,500.00</w:t>
            </w:r>
          </w:p>
        </w:tc>
        <w:tc>
          <w:tcPr>
            <w:tcW w:type="dxa" w:w="3360"/>
            <w:shd w:fill="FFFFFF"/>
          </w:tcPr>
          <w:p>
            <w:pPr>
              <w:jc w:val="right"/>
            </w:pPr>
            <w:r>
              <w:rPr>
                <w:sz w:val="17"/>
              </w:rPr>
              <w:t>12,200.00</w:t>
            </w:r>
          </w:p>
        </w:tc>
      </w:tr>
      <w:tr>
        <w:tc>
          <w:tcPr>
            <w:tcW w:type="dxa" w:w="3360"/>
            <w:shd w:fill="F7FAFC"/>
          </w:tcPr>
          <w:p>
            <w:r>
              <w:rPr>
                <w:sz w:val="17"/>
              </w:rPr>
              <w:t>Other Income</w:t>
            </w:r>
          </w:p>
        </w:tc>
        <w:tc>
          <w:tcPr>
            <w:tcW w:type="dxa" w:w="3360"/>
            <w:shd w:fill="F7FAFC"/>
          </w:tcPr>
          <w:p>
            <w:pPr>
              <w:jc w:val="right"/>
            </w:pPr>
            <w:r>
              <w:rPr>
                <w:sz w:val="17"/>
              </w:rPr>
              <w:t>180.00</w:t>
            </w:r>
          </w:p>
        </w:tc>
        <w:tc>
          <w:tcPr>
            <w:tcW w:type="dxa" w:w="3360"/>
            <w:shd w:fill="F7FAFC"/>
          </w:tcPr>
          <w:p>
            <w:pPr>
              <w:jc w:val="right"/>
            </w:pPr>
            <w:r>
              <w:rPr>
                <w:sz w:val="17"/>
              </w:rPr>
              <w:t>140.00</w:t>
            </w:r>
          </w:p>
        </w:tc>
      </w:tr>
      <w:tr>
        <w:tc>
          <w:tcPr>
            <w:tcW w:type="dxa" w:w="3360"/>
            <w:shd w:fill="FFFFFF"/>
          </w:tcPr>
          <w:p>
            <w:r>
              <w:rPr>
                <w:sz w:val="17"/>
              </w:rPr>
              <w:t>TOTAL INCOME</w:t>
            </w:r>
          </w:p>
        </w:tc>
        <w:tc>
          <w:tcPr>
            <w:tcW w:type="dxa" w:w="3360"/>
            <w:shd w:fill="FFFFFF"/>
          </w:tcPr>
          <w:p>
            <w:pPr>
              <w:jc w:val="right"/>
            </w:pPr>
            <w:r>
              <w:rPr>
                <w:sz w:val="17"/>
              </w:rPr>
              <w:t>14,680.00</w:t>
            </w:r>
          </w:p>
        </w:tc>
        <w:tc>
          <w:tcPr>
            <w:tcW w:type="dxa" w:w="3360"/>
            <w:shd w:fill="FFFFFF"/>
          </w:tcPr>
          <w:p>
            <w:pPr>
              <w:jc w:val="right"/>
            </w:pPr>
            <w:r>
              <w:rPr>
                <w:sz w:val="17"/>
              </w:rPr>
              <w:t>12,340.00</w:t>
            </w:r>
          </w:p>
        </w:tc>
      </w:tr>
      <w:tr>
        <w:tc>
          <w:tcPr>
            <w:tcW w:type="dxa" w:w="3360"/>
            <w:shd w:fill="F7FAFC"/>
          </w:tcPr>
          <w:p>
            <w:r>
              <w:rPr>
                <w:sz w:val="17"/>
              </w:rPr>
              <w:t>Cost of Materials Consumed</w:t>
            </w:r>
          </w:p>
        </w:tc>
        <w:tc>
          <w:tcPr>
            <w:tcW w:type="dxa" w:w="3360"/>
            <w:shd w:fill="F7FAFC"/>
          </w:tcPr>
          <w:p>
            <w:pPr>
              <w:jc w:val="right"/>
            </w:pPr>
            <w:r>
              <w:rPr>
                <w:sz w:val="17"/>
              </w:rPr>
              <w:t>8,200.00</w:t>
            </w:r>
          </w:p>
        </w:tc>
        <w:tc>
          <w:tcPr>
            <w:tcW w:type="dxa" w:w="3360"/>
            <w:shd w:fill="F7FAFC"/>
          </w:tcPr>
          <w:p>
            <w:pPr>
              <w:jc w:val="right"/>
            </w:pPr>
            <w:r>
              <w:rPr>
                <w:sz w:val="17"/>
              </w:rPr>
              <w:t>6,900.00</w:t>
            </w:r>
          </w:p>
        </w:tc>
      </w:tr>
      <w:tr>
        <w:tc>
          <w:tcPr>
            <w:tcW w:type="dxa" w:w="3360"/>
            <w:shd w:fill="FFFFFF"/>
          </w:tcPr>
          <w:p>
            <w:r>
              <w:rPr>
                <w:sz w:val="17"/>
              </w:rPr>
              <w:t>Changes in Inventories of FG &amp; WIP</w:t>
            </w:r>
          </w:p>
        </w:tc>
        <w:tc>
          <w:tcPr>
            <w:tcW w:type="dxa" w:w="3360"/>
            <w:shd w:fill="FFFFFF"/>
          </w:tcPr>
          <w:p>
            <w:pPr>
              <w:jc w:val="right"/>
            </w:pPr>
            <w:r>
              <w:rPr>
                <w:sz w:val="17"/>
              </w:rPr>
              <w:t>-250.00</w:t>
            </w:r>
          </w:p>
        </w:tc>
        <w:tc>
          <w:tcPr>
            <w:tcW w:type="dxa" w:w="3360"/>
            <w:shd w:fill="FFFFFF"/>
          </w:tcPr>
          <w:p>
            <w:pPr>
              <w:jc w:val="right"/>
            </w:pPr>
            <w:r>
              <w:rPr>
                <w:sz w:val="17"/>
              </w:rPr>
              <w:t>-180.00</w:t>
            </w:r>
          </w:p>
        </w:tc>
      </w:tr>
      <w:tr>
        <w:tc>
          <w:tcPr>
            <w:tcW w:type="dxa" w:w="3360"/>
            <w:shd w:fill="F7FAFC"/>
          </w:tcPr>
          <w:p>
            <w:r>
              <w:rPr>
                <w:sz w:val="17"/>
              </w:rPr>
              <w:t>Employee Benefits Expense</w:t>
            </w:r>
          </w:p>
        </w:tc>
        <w:tc>
          <w:tcPr>
            <w:tcW w:type="dxa" w:w="3360"/>
            <w:shd w:fill="F7FAFC"/>
          </w:tcPr>
          <w:p>
            <w:pPr>
              <w:jc w:val="right"/>
            </w:pPr>
            <w:r>
              <w:rPr>
                <w:sz w:val="17"/>
              </w:rPr>
              <w:t>1,850.00</w:t>
            </w:r>
          </w:p>
        </w:tc>
        <w:tc>
          <w:tcPr>
            <w:tcW w:type="dxa" w:w="3360"/>
            <w:shd w:fill="F7FAFC"/>
          </w:tcPr>
          <w:p>
            <w:pPr>
              <w:jc w:val="right"/>
            </w:pPr>
            <w:r>
              <w:rPr>
                <w:sz w:val="17"/>
              </w:rPr>
              <w:t>1,550.00</w:t>
            </w:r>
          </w:p>
        </w:tc>
      </w:tr>
      <w:tr>
        <w:tc>
          <w:tcPr>
            <w:tcW w:type="dxa" w:w="3360"/>
            <w:shd w:fill="FFFFFF"/>
          </w:tcPr>
          <w:p>
            <w:r>
              <w:rPr>
                <w:sz w:val="17"/>
              </w:rPr>
              <w:t>Finance Costs (Interest Expense)</w:t>
            </w:r>
          </w:p>
        </w:tc>
        <w:tc>
          <w:tcPr>
            <w:tcW w:type="dxa" w:w="3360"/>
            <w:shd w:fill="FFFFFF"/>
          </w:tcPr>
          <w:p>
            <w:pPr>
              <w:jc w:val="right"/>
            </w:pPr>
            <w:r>
              <w:rPr>
                <w:sz w:val="17"/>
              </w:rPr>
              <w:t>420.00</w:t>
            </w:r>
          </w:p>
        </w:tc>
        <w:tc>
          <w:tcPr>
            <w:tcW w:type="dxa" w:w="3360"/>
            <w:shd w:fill="FFFFFF"/>
          </w:tcPr>
          <w:p>
            <w:pPr>
              <w:jc w:val="right"/>
            </w:pPr>
            <w:r>
              <w:rPr>
                <w:sz w:val="17"/>
              </w:rPr>
              <w:t>280.00</w:t>
            </w:r>
          </w:p>
        </w:tc>
      </w:tr>
      <w:tr>
        <w:tc>
          <w:tcPr>
            <w:tcW w:type="dxa" w:w="3360"/>
            <w:shd w:fill="F7FAFC"/>
          </w:tcPr>
          <w:p>
            <w:r>
              <w:rPr>
                <w:sz w:val="17"/>
              </w:rPr>
              <w:t>Depreciation and Amortisation Expense</w:t>
            </w:r>
          </w:p>
        </w:tc>
        <w:tc>
          <w:tcPr>
            <w:tcW w:type="dxa" w:w="3360"/>
            <w:shd w:fill="F7FAFC"/>
          </w:tcPr>
          <w:p>
            <w:pPr>
              <w:jc w:val="right"/>
            </w:pPr>
            <w:r>
              <w:rPr>
                <w:sz w:val="17"/>
              </w:rPr>
              <w:t>480.00</w:t>
            </w:r>
          </w:p>
        </w:tc>
        <w:tc>
          <w:tcPr>
            <w:tcW w:type="dxa" w:w="3360"/>
            <w:shd w:fill="F7FAFC"/>
          </w:tcPr>
          <w:p>
            <w:pPr>
              <w:jc w:val="right"/>
            </w:pPr>
            <w:r>
              <w:rPr>
                <w:sz w:val="17"/>
              </w:rPr>
              <w:t>420.00</w:t>
            </w:r>
          </w:p>
        </w:tc>
      </w:tr>
      <w:tr>
        <w:tc>
          <w:tcPr>
            <w:tcW w:type="dxa" w:w="3360"/>
            <w:shd w:fill="FFFFFF"/>
          </w:tcPr>
          <w:p>
            <w:r>
              <w:rPr>
                <w:sz w:val="17"/>
              </w:rPr>
              <w:t>Power and Fuel Expenses</w:t>
            </w:r>
          </w:p>
        </w:tc>
        <w:tc>
          <w:tcPr>
            <w:tcW w:type="dxa" w:w="3360"/>
            <w:shd w:fill="FFFFFF"/>
          </w:tcPr>
          <w:p>
            <w:pPr>
              <w:jc w:val="right"/>
            </w:pPr>
            <w:r>
              <w:rPr>
                <w:sz w:val="17"/>
              </w:rPr>
              <w:t>640.00</w:t>
            </w:r>
          </w:p>
        </w:tc>
        <w:tc>
          <w:tcPr>
            <w:tcW w:type="dxa" w:w="3360"/>
            <w:shd w:fill="FFFFFF"/>
          </w:tcPr>
          <w:p>
            <w:pPr>
              <w:jc w:val="right"/>
            </w:pPr>
            <w:r>
              <w:rPr>
                <w:sz w:val="17"/>
              </w:rPr>
              <w:t>520.00</w:t>
            </w:r>
          </w:p>
        </w:tc>
      </w:tr>
      <w:tr>
        <w:tc>
          <w:tcPr>
            <w:tcW w:type="dxa" w:w="3360"/>
            <w:shd w:fill="F7FAFC"/>
          </w:tcPr>
          <w:p>
            <w:r>
              <w:rPr>
                <w:sz w:val="17"/>
              </w:rPr>
              <w:t>Freight &amp; Transportation Outward</w:t>
            </w:r>
          </w:p>
        </w:tc>
        <w:tc>
          <w:tcPr>
            <w:tcW w:type="dxa" w:w="3360"/>
            <w:shd w:fill="F7FAFC"/>
          </w:tcPr>
          <w:p>
            <w:pPr>
              <w:jc w:val="right"/>
            </w:pPr>
            <w:r>
              <w:rPr>
                <w:sz w:val="17"/>
              </w:rPr>
              <w:t>390.00</w:t>
            </w:r>
          </w:p>
        </w:tc>
        <w:tc>
          <w:tcPr>
            <w:tcW w:type="dxa" w:w="3360"/>
            <w:shd w:fill="F7FAFC"/>
          </w:tcPr>
          <w:p>
            <w:pPr>
              <w:jc w:val="right"/>
            </w:pPr>
            <w:r>
              <w:rPr>
                <w:sz w:val="17"/>
              </w:rPr>
              <w:t>310.00</w:t>
            </w:r>
          </w:p>
        </w:tc>
      </w:tr>
      <w:tr>
        <w:tc>
          <w:tcPr>
            <w:tcW w:type="dxa" w:w="3360"/>
            <w:shd w:fill="FFFFFF"/>
          </w:tcPr>
          <w:p>
            <w:r>
              <w:rPr>
                <w:sz w:val="17"/>
              </w:rPr>
              <w:t>Other Operating Expenses</w:t>
            </w:r>
          </w:p>
        </w:tc>
        <w:tc>
          <w:tcPr>
            <w:tcW w:type="dxa" w:w="3360"/>
            <w:shd w:fill="FFFFFF"/>
          </w:tcPr>
          <w:p>
            <w:pPr>
              <w:jc w:val="right"/>
            </w:pPr>
            <w:r>
              <w:rPr>
                <w:sz w:val="17"/>
              </w:rPr>
              <w:t>1,520.00</w:t>
            </w:r>
          </w:p>
        </w:tc>
        <w:tc>
          <w:tcPr>
            <w:tcW w:type="dxa" w:w="3360"/>
            <w:shd w:fill="FFFFFF"/>
          </w:tcPr>
          <w:p>
            <w:pPr>
              <w:jc w:val="right"/>
            </w:pPr>
            <w:r>
              <w:rPr>
                <w:sz w:val="17"/>
              </w:rPr>
              <w:t>1,280.00</w:t>
            </w:r>
          </w:p>
        </w:tc>
      </w:tr>
      <w:tr>
        <w:tc>
          <w:tcPr>
            <w:tcW w:type="dxa" w:w="3360"/>
            <w:shd w:fill="F7FAFC"/>
          </w:tcPr>
          <w:p>
            <w:r>
              <w:rPr>
                <w:sz w:val="17"/>
              </w:rPr>
              <w:t>TOTAL EXPENSES</w:t>
            </w:r>
          </w:p>
        </w:tc>
        <w:tc>
          <w:tcPr>
            <w:tcW w:type="dxa" w:w="3360"/>
            <w:shd w:fill="F7FAFC"/>
          </w:tcPr>
          <w:p>
            <w:pPr>
              <w:jc w:val="right"/>
            </w:pPr>
            <w:r>
              <w:rPr>
                <w:sz w:val="17"/>
              </w:rPr>
              <w:t>13,250.00</w:t>
            </w:r>
          </w:p>
        </w:tc>
        <w:tc>
          <w:tcPr>
            <w:tcW w:type="dxa" w:w="3360"/>
            <w:shd w:fill="F7FAFC"/>
          </w:tcPr>
          <w:p>
            <w:pPr>
              <w:jc w:val="right"/>
            </w:pPr>
            <w:r>
              <w:rPr>
                <w:sz w:val="17"/>
              </w:rPr>
              <w:t>11,080.00</w:t>
            </w:r>
          </w:p>
        </w:tc>
      </w:tr>
      <w:tr>
        <w:tc>
          <w:tcPr>
            <w:tcW w:type="dxa" w:w="3360"/>
            <w:shd w:fill="FFFFFF"/>
          </w:tcPr>
          <w:p>
            <w:r>
              <w:rPr>
                <w:sz w:val="17"/>
              </w:rPr>
              <w:t>PROFIT BEFORE EXCEPTIONAL ITEMS &amp; TAX</w:t>
            </w:r>
          </w:p>
        </w:tc>
        <w:tc>
          <w:tcPr>
            <w:tcW w:type="dxa" w:w="3360"/>
            <w:shd w:fill="FFFFFF"/>
          </w:tcPr>
          <w:p>
            <w:pPr>
              <w:jc w:val="right"/>
            </w:pPr>
            <w:r>
              <w:rPr>
                <w:sz w:val="17"/>
              </w:rPr>
              <w:t>1,430.00</w:t>
            </w:r>
          </w:p>
        </w:tc>
        <w:tc>
          <w:tcPr>
            <w:tcW w:type="dxa" w:w="3360"/>
            <w:shd w:fill="FFFFFF"/>
          </w:tcPr>
          <w:p>
            <w:pPr>
              <w:jc w:val="right"/>
            </w:pPr>
            <w:r>
              <w:rPr>
                <w:sz w:val="17"/>
              </w:rPr>
              <w:t>1,260.00</w:t>
            </w:r>
          </w:p>
        </w:tc>
      </w:tr>
      <w:tr>
        <w:tc>
          <w:tcPr>
            <w:tcW w:type="dxa" w:w="3360"/>
            <w:shd w:fill="F7FAFC"/>
          </w:tcPr>
          <w:p>
            <w:r>
              <w:rPr>
                <w:sz w:val="17"/>
              </w:rPr>
              <w:t>Tax Expense (Current Tax + Deferred Tax)</w:t>
            </w:r>
          </w:p>
        </w:tc>
        <w:tc>
          <w:tcPr>
            <w:tcW w:type="dxa" w:w="3360"/>
            <w:shd w:fill="F7FAFC"/>
          </w:tcPr>
          <w:p>
            <w:pPr>
              <w:jc w:val="right"/>
            </w:pPr>
            <w:r>
              <w:rPr>
                <w:sz w:val="17"/>
              </w:rPr>
              <w:t>360.00</w:t>
            </w:r>
          </w:p>
        </w:tc>
        <w:tc>
          <w:tcPr>
            <w:tcW w:type="dxa" w:w="3360"/>
            <w:shd w:fill="F7FAFC"/>
          </w:tcPr>
          <w:p>
            <w:pPr>
              <w:jc w:val="right"/>
            </w:pPr>
            <w:r>
              <w:rPr>
                <w:sz w:val="17"/>
              </w:rPr>
              <w:t>315.00</w:t>
            </w:r>
          </w:p>
        </w:tc>
      </w:tr>
      <w:tr>
        <w:tc>
          <w:tcPr>
            <w:tcW w:type="dxa" w:w="3360"/>
            <w:shd w:fill="FFFFFF"/>
          </w:tcPr>
          <w:p>
            <w:r>
              <w:rPr>
                <w:sz w:val="17"/>
              </w:rPr>
              <w:t>PROFIT FOR THE PERIOD (PAT)</w:t>
            </w:r>
          </w:p>
        </w:tc>
        <w:tc>
          <w:tcPr>
            <w:tcW w:type="dxa" w:w="3360"/>
            <w:shd w:fill="FFFFFF"/>
          </w:tcPr>
          <w:p>
            <w:pPr>
              <w:jc w:val="right"/>
            </w:pPr>
            <w:r>
              <w:rPr>
                <w:sz w:val="17"/>
              </w:rPr>
              <w:t>1,070.00</w:t>
            </w:r>
          </w:p>
        </w:tc>
        <w:tc>
          <w:tcPr>
            <w:tcW w:type="dxa" w:w="3360"/>
            <w:shd w:fill="FFFFFF"/>
          </w:tcPr>
          <w:p>
            <w:pPr>
              <w:jc w:val="right"/>
            </w:pPr>
            <w:r>
              <w:rPr>
                <w:sz w:val="17"/>
              </w:rPr>
              <w:t>945.00</w:t>
            </w:r>
          </w:p>
        </w:tc>
      </w:tr>
    </w:tbl>
    <w:p>
      <w:pPr>
        <w:spacing w:after="200"/>
      </w:pPr>
    </w:p>
    <w:p>
      <w:pPr>
        <w:pStyle w:val="Heading1"/>
      </w:pPr>
      <w:r>
        <w:rPr>
          <w:rFonts w:ascii="Segoe UI" w:hAnsi="Segoe UI"/>
          <w:color w:val="1A365D"/>
        </w:rPr>
        <w:t>3. Financial Ratio Analysis</w:t>
      </w:r>
    </w:p>
    <w:p>
      <w:r>
        <w:t>The table below details 30 standard financial ratios categorized across Liquidity, Profitability, Solvency, and Efficiency.</w:t>
      </w:r>
    </w:p>
    <w:p>
      <w:pPr>
        <w:pStyle w:val="Heading2"/>
      </w:pPr>
      <w:r>
        <w:rPr>
          <w:rFonts w:ascii="Segoe UI" w:hAnsi="Segoe UI"/>
          <w:color w:val="2B6CB0"/>
        </w:rPr>
        <w:t>Liquidity Ratios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A365D"/>
          </w:tcPr>
          <w:p>
            <w:pPr>
              <w:jc w:val="left"/>
            </w:pPr>
            <w:r>
              <w:rPr>
                <w:rFonts w:ascii="Segoe UI" w:hAnsi="Segoe UI"/>
                <w:b/>
                <w:color w:val="FFFFFF"/>
                <w:sz w:val="17"/>
              </w:rPr>
              <w:t>Ratio Name</w:t>
            </w:r>
          </w:p>
        </w:tc>
        <w:tc>
          <w:tcPr>
            <w:tcW w:type="dxa" w:w="1680"/>
            <w:shd w:fill="1A365D"/>
          </w:tcPr>
          <w:p>
            <w:pPr>
              <w:jc w:val="left"/>
            </w:pPr>
            <w:r>
              <w:rPr>
                <w:rFonts w:ascii="Segoe UI" w:hAnsi="Segoe UI"/>
                <w:b/>
                <w:color w:val="FFFFFF"/>
                <w:sz w:val="17"/>
              </w:rPr>
              <w:t>Formula</w:t>
            </w:r>
          </w:p>
        </w:tc>
        <w:tc>
          <w:tcPr>
            <w:tcW w:type="dxa" w:w="1680"/>
            <w:shd w:fill="1A365D"/>
          </w:tcPr>
          <w:p>
            <w:pPr>
              <w:jc w:val="center"/>
            </w:pPr>
            <w:r>
              <w:rPr>
                <w:rFonts w:ascii="Segoe UI" w:hAnsi="Segoe UI"/>
                <w:b/>
                <w:color w:val="FFFFFF"/>
                <w:sz w:val="17"/>
              </w:rPr>
              <w:t>Current</w:t>
            </w:r>
          </w:p>
        </w:tc>
        <w:tc>
          <w:tcPr>
            <w:tcW w:type="dxa" w:w="1680"/>
            <w:shd w:fill="1A365D"/>
          </w:tcPr>
          <w:p>
            <w:pPr>
              <w:jc w:val="center"/>
            </w:pPr>
            <w:r>
              <w:rPr>
                <w:rFonts w:ascii="Segoe UI" w:hAnsi="Segoe UI"/>
                <w:b/>
                <w:color w:val="FFFFFF"/>
                <w:sz w:val="17"/>
              </w:rPr>
              <w:t>Previous</w:t>
            </w:r>
          </w:p>
        </w:tc>
        <w:tc>
          <w:tcPr>
            <w:tcW w:type="dxa" w:w="1680"/>
            <w:shd w:fill="1A365D"/>
          </w:tcPr>
          <w:p>
            <w:pPr>
              <w:jc w:val="center"/>
            </w:pPr>
            <w:r>
              <w:rPr>
                <w:rFonts w:ascii="Segoe UI" w:hAnsi="Segoe UI"/>
                <w:b/>
                <w:color w:val="FFFFFF"/>
                <w:sz w:val="17"/>
              </w:rPr>
              <w:t>Benchmark</w:t>
            </w:r>
          </w:p>
        </w:tc>
        <w:tc>
          <w:tcPr>
            <w:tcW w:type="dxa" w:w="1680"/>
            <w:shd w:fill="1A365D"/>
          </w:tcPr>
          <w:p>
            <w:pPr>
              <w:jc w:val="center"/>
            </w:pPr>
            <w:r>
              <w:rPr>
                <w:rFonts w:ascii="Segoe UI" w:hAnsi="Segoe UI"/>
                <w:b/>
                <w:color w:val="FFFFFF"/>
                <w:sz w:val="17"/>
              </w:rPr>
              <w:t>Status</w:t>
            </w:r>
          </w:p>
        </w:tc>
      </w:tr>
      <w:tr>
        <w:tc>
          <w:tcPr>
            <w:tcW w:type="dxa" w:w="1680"/>
            <w:shd w:fill="FFFFFF"/>
          </w:tcPr>
          <w:p>
            <w:r>
              <w:rPr>
                <w:b/>
                <w:sz w:val="16"/>
              </w:rPr>
              <w:t>Current Ratio</w:t>
            </w:r>
          </w:p>
        </w:tc>
        <w:tc>
          <w:tcPr>
            <w:tcW w:type="dxa" w:w="1680"/>
            <w:shd w:fill="FFFFFF"/>
          </w:tcPr>
          <w:p>
            <w:r>
              <w:rPr>
                <w:sz w:val="15"/>
              </w:rPr>
              <w:t>Total Current Assets / Total Current Liabilities</w:t>
            </w:r>
          </w:p>
        </w:tc>
        <w:tc>
          <w:tcPr>
            <w:tcW w:type="dxa" w:w="1680"/>
            <w:shd w:fill="FFFFFF"/>
          </w:tcPr>
          <w:p>
            <w:pPr>
              <w:jc w:val="right"/>
            </w:pPr>
            <w:r>
              <w:rPr>
                <w:sz w:val="16"/>
              </w:rPr>
              <w:t>1.53 x</w:t>
            </w:r>
          </w:p>
        </w:tc>
        <w:tc>
          <w:tcPr>
            <w:tcW w:type="dxa" w:w="1680"/>
            <w:shd w:fill="FFFFFF"/>
          </w:tcPr>
          <w:p>
            <w:pPr>
              <w:jc w:val="right"/>
            </w:pPr>
            <w:r>
              <w:rPr>
                <w:sz w:val="16"/>
              </w:rPr>
              <w:t>1.54 x</w:t>
            </w:r>
          </w:p>
        </w:tc>
        <w:tc>
          <w:tcPr>
            <w:tcW w:type="dxa" w:w="1680"/>
            <w:shd w:fill="FFFFFF"/>
          </w:tcPr>
          <w:p>
            <w:r>
              <w:rPr>
                <w:sz w:val="15"/>
              </w:rPr>
              <w:t>Ideal: 1.33x - 2.00x</w:t>
            </w:r>
          </w:p>
        </w:tc>
        <w:tc>
          <w:tcPr>
            <w:tcW w:type="dxa" w:w="1680"/>
            <w:shd w:fill="C6F6D5"/>
          </w:tcPr>
          <w:p>
            <w:pPr>
              <w:jc w:val="center"/>
            </w:pPr>
            <w:r>
              <w:rPr>
                <w:b/>
                <w:sz w:val="16"/>
              </w:rPr>
              <w:t>Healthy</w:t>
            </w:r>
          </w:p>
        </w:tc>
      </w:tr>
      <w:tr>
        <w:tc>
          <w:tcPr>
            <w:tcW w:type="dxa" w:w="1680"/>
            <w:shd w:fill="F7FAFC"/>
          </w:tcPr>
          <w:p>
            <w:r>
              <w:rPr>
                <w:b/>
                <w:sz w:val="16"/>
              </w:rPr>
              <w:t>Quick Ratio (Acid Test)</w:t>
            </w:r>
          </w:p>
        </w:tc>
        <w:tc>
          <w:tcPr>
            <w:tcW w:type="dxa" w:w="1680"/>
            <w:shd w:fill="F7FAFC"/>
          </w:tcPr>
          <w:p>
            <w:r>
              <w:rPr>
                <w:sz w:val="15"/>
              </w:rPr>
              <w:t>(Current Assets - Inventories) / Current Liabilities</w:t>
            </w:r>
          </w:p>
        </w:tc>
        <w:tc>
          <w:tcPr>
            <w:tcW w:type="dxa" w:w="1680"/>
            <w:shd w:fill="F7FAFC"/>
          </w:tcPr>
          <w:p>
            <w:pPr>
              <w:jc w:val="right"/>
            </w:pPr>
            <w:r>
              <w:rPr>
                <w:sz w:val="16"/>
              </w:rPr>
              <w:t>1.53 x</w:t>
            </w:r>
          </w:p>
        </w:tc>
        <w:tc>
          <w:tcPr>
            <w:tcW w:type="dxa" w:w="1680"/>
            <w:shd w:fill="F7FAFC"/>
          </w:tcPr>
          <w:p>
            <w:pPr>
              <w:jc w:val="right"/>
            </w:pPr>
            <w:r>
              <w:rPr>
                <w:sz w:val="16"/>
              </w:rPr>
              <w:t>1.54 x</w:t>
            </w:r>
          </w:p>
        </w:tc>
        <w:tc>
          <w:tcPr>
            <w:tcW w:type="dxa" w:w="1680"/>
            <w:shd w:fill="F7FAFC"/>
          </w:tcPr>
          <w:p>
            <w:r>
              <w:rPr>
                <w:sz w:val="15"/>
              </w:rPr>
              <w:t>Ideal: &gt;= 1.00x</w:t>
            </w:r>
          </w:p>
        </w:tc>
        <w:tc>
          <w:tcPr>
            <w:tcW w:type="dxa" w:w="1680"/>
            <w:shd w:fill="C6F6D5"/>
          </w:tcPr>
          <w:p>
            <w:pPr>
              <w:jc w:val="center"/>
            </w:pPr>
            <w:r>
              <w:rPr>
                <w:b/>
                <w:sz w:val="16"/>
              </w:rPr>
              <w:t>Healthy</w:t>
            </w:r>
          </w:p>
        </w:tc>
      </w:tr>
      <w:tr>
        <w:tc>
          <w:tcPr>
            <w:tcW w:type="dxa" w:w="1680"/>
            <w:shd w:fill="FFFFFF"/>
          </w:tcPr>
          <w:p>
            <w:r>
              <w:rPr>
                <w:b/>
                <w:sz w:val="16"/>
              </w:rPr>
              <w:t>Cash Ratio</w:t>
            </w:r>
          </w:p>
        </w:tc>
        <w:tc>
          <w:tcPr>
            <w:tcW w:type="dxa" w:w="1680"/>
            <w:shd w:fill="FFFFFF"/>
          </w:tcPr>
          <w:p>
            <w:r>
              <w:rPr>
                <w:sz w:val="15"/>
              </w:rPr>
              <w:t>(Cash &amp; Bank + Marketable Securities) / Current Liabilities</w:t>
            </w:r>
          </w:p>
        </w:tc>
        <w:tc>
          <w:tcPr>
            <w:tcW w:type="dxa" w:w="1680"/>
            <w:shd w:fill="FFFFFF"/>
          </w:tcPr>
          <w:p>
            <w:pPr>
              <w:jc w:val="right"/>
            </w:pPr>
            <w:r>
              <w:rPr>
                <w:sz w:val="16"/>
              </w:rPr>
              <w:t>0.21 x</w:t>
            </w:r>
          </w:p>
        </w:tc>
        <w:tc>
          <w:tcPr>
            <w:tcW w:type="dxa" w:w="1680"/>
            <w:shd w:fill="FFFFFF"/>
          </w:tcPr>
          <w:p>
            <w:pPr>
              <w:jc w:val="right"/>
            </w:pPr>
            <w:r>
              <w:rPr>
                <w:sz w:val="16"/>
              </w:rPr>
              <w:t>0.27 x</w:t>
            </w:r>
          </w:p>
        </w:tc>
        <w:tc>
          <w:tcPr>
            <w:tcW w:type="dxa" w:w="1680"/>
            <w:shd w:fill="FFFFFF"/>
          </w:tcPr>
          <w:p>
            <w:r>
              <w:rPr>
                <w:sz w:val="15"/>
              </w:rPr>
              <w:t>Standard: 0.20x - 0.50x</w:t>
            </w:r>
          </w:p>
        </w:tc>
        <w:tc>
          <w:tcPr>
            <w:tcW w:type="dxa" w:w="1680"/>
          </w:tcPr>
          <w:p>
            <w:pPr>
              <w:jc w:val="center"/>
            </w:pPr>
            <w:r>
              <w:rPr>
                <w:b/>
                <w:sz w:val="16"/>
              </w:rPr>
              <w:t>Normal</w:t>
            </w:r>
          </w:p>
        </w:tc>
      </w:tr>
      <w:tr>
        <w:tc>
          <w:tcPr>
            <w:tcW w:type="dxa" w:w="1680"/>
            <w:shd w:fill="F7FAFC"/>
          </w:tcPr>
          <w:p>
            <w:r>
              <w:rPr>
                <w:b/>
                <w:sz w:val="16"/>
              </w:rPr>
              <w:t>Net Working Capital (NWC)</w:t>
            </w:r>
          </w:p>
        </w:tc>
        <w:tc>
          <w:tcPr>
            <w:tcW w:type="dxa" w:w="1680"/>
            <w:shd w:fill="F7FAFC"/>
          </w:tcPr>
          <w:p>
            <w:r>
              <w:rPr>
                <w:sz w:val="15"/>
              </w:rPr>
              <w:t>Total Current Assets - Total Current Liabilities</w:t>
            </w:r>
          </w:p>
        </w:tc>
        <w:tc>
          <w:tcPr>
            <w:tcW w:type="dxa" w:w="1680"/>
            <w:shd w:fill="F7FAFC"/>
          </w:tcPr>
          <w:p>
            <w:pPr>
              <w:jc w:val="right"/>
            </w:pPr>
            <w:r>
              <w:rPr>
                <w:sz w:val="16"/>
              </w:rPr>
              <w:t>1,000.50 ₹</w:t>
            </w:r>
          </w:p>
        </w:tc>
        <w:tc>
          <w:tcPr>
            <w:tcW w:type="dxa" w:w="1680"/>
            <w:shd w:fill="F7FAFC"/>
          </w:tcPr>
          <w:p>
            <w:pPr>
              <w:jc w:val="right"/>
            </w:pPr>
            <w:r>
              <w:rPr>
                <w:sz w:val="16"/>
              </w:rPr>
              <w:t>820.00 ₹</w:t>
            </w:r>
          </w:p>
        </w:tc>
        <w:tc>
          <w:tcPr>
            <w:tcW w:type="dxa" w:w="1680"/>
            <w:shd w:fill="F7FAFC"/>
          </w:tcPr>
          <w:p>
            <w:r>
              <w:rPr>
                <w:sz w:val="15"/>
              </w:rPr>
              <w:t>Positive cushion required</w:t>
            </w:r>
          </w:p>
        </w:tc>
        <w:tc>
          <w:tcPr>
            <w:tcW w:type="dxa" w:w="1680"/>
          </w:tcPr>
          <w:p>
            <w:pPr>
              <w:jc w:val="center"/>
            </w:pPr>
            <w:r>
              <w:rPr>
                <w:b/>
                <w:sz w:val="16"/>
              </w:rPr>
              <w:t>Normal</w:t>
            </w:r>
          </w:p>
        </w:tc>
      </w:tr>
    </w:tbl>
    <w:p>
      <w:pPr>
        <w:spacing w:after="160"/>
      </w:pPr>
    </w:p>
    <w:p>
      <w:pPr>
        <w:pStyle w:val="Heading2"/>
      </w:pPr>
      <w:r>
        <w:rPr>
          <w:rFonts w:ascii="Segoe UI" w:hAnsi="Segoe UI"/>
          <w:color w:val="2B6CB0"/>
        </w:rPr>
        <w:t>Profitability Ratios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A365D"/>
          </w:tcPr>
          <w:p>
            <w:pPr>
              <w:jc w:val="left"/>
            </w:pPr>
            <w:r>
              <w:rPr>
                <w:rFonts w:ascii="Segoe UI" w:hAnsi="Segoe UI"/>
                <w:b/>
                <w:color w:val="FFFFFF"/>
                <w:sz w:val="17"/>
              </w:rPr>
              <w:t>Ratio Name</w:t>
            </w:r>
          </w:p>
        </w:tc>
        <w:tc>
          <w:tcPr>
            <w:tcW w:type="dxa" w:w="1680"/>
            <w:shd w:fill="1A365D"/>
          </w:tcPr>
          <w:p>
            <w:pPr>
              <w:jc w:val="left"/>
            </w:pPr>
            <w:r>
              <w:rPr>
                <w:rFonts w:ascii="Segoe UI" w:hAnsi="Segoe UI"/>
                <w:b/>
                <w:color w:val="FFFFFF"/>
                <w:sz w:val="17"/>
              </w:rPr>
              <w:t>Formula</w:t>
            </w:r>
          </w:p>
        </w:tc>
        <w:tc>
          <w:tcPr>
            <w:tcW w:type="dxa" w:w="1680"/>
            <w:shd w:fill="1A365D"/>
          </w:tcPr>
          <w:p>
            <w:pPr>
              <w:jc w:val="center"/>
            </w:pPr>
            <w:r>
              <w:rPr>
                <w:rFonts w:ascii="Segoe UI" w:hAnsi="Segoe UI"/>
                <w:b/>
                <w:color w:val="FFFFFF"/>
                <w:sz w:val="17"/>
              </w:rPr>
              <w:t>Current</w:t>
            </w:r>
          </w:p>
        </w:tc>
        <w:tc>
          <w:tcPr>
            <w:tcW w:type="dxa" w:w="1680"/>
            <w:shd w:fill="1A365D"/>
          </w:tcPr>
          <w:p>
            <w:pPr>
              <w:jc w:val="center"/>
            </w:pPr>
            <w:r>
              <w:rPr>
                <w:rFonts w:ascii="Segoe UI" w:hAnsi="Segoe UI"/>
                <w:b/>
                <w:color w:val="FFFFFF"/>
                <w:sz w:val="17"/>
              </w:rPr>
              <w:t>Previous</w:t>
            </w:r>
          </w:p>
        </w:tc>
        <w:tc>
          <w:tcPr>
            <w:tcW w:type="dxa" w:w="1680"/>
            <w:shd w:fill="1A365D"/>
          </w:tcPr>
          <w:p>
            <w:pPr>
              <w:jc w:val="center"/>
            </w:pPr>
            <w:r>
              <w:rPr>
                <w:rFonts w:ascii="Segoe UI" w:hAnsi="Segoe UI"/>
                <w:b/>
                <w:color w:val="FFFFFF"/>
                <w:sz w:val="17"/>
              </w:rPr>
              <w:t>Benchmark</w:t>
            </w:r>
          </w:p>
        </w:tc>
        <w:tc>
          <w:tcPr>
            <w:tcW w:type="dxa" w:w="1680"/>
            <w:shd w:fill="1A365D"/>
          </w:tcPr>
          <w:p>
            <w:pPr>
              <w:jc w:val="center"/>
            </w:pPr>
            <w:r>
              <w:rPr>
                <w:rFonts w:ascii="Segoe UI" w:hAnsi="Segoe UI"/>
                <w:b/>
                <w:color w:val="FFFFFF"/>
                <w:sz w:val="17"/>
              </w:rPr>
              <w:t>Status</w:t>
            </w:r>
          </w:p>
        </w:tc>
      </w:tr>
      <w:tr>
        <w:tc>
          <w:tcPr>
            <w:tcW w:type="dxa" w:w="1680"/>
            <w:shd w:fill="FFFFFF"/>
          </w:tcPr>
          <w:p>
            <w:r>
              <w:rPr>
                <w:b/>
                <w:sz w:val="16"/>
              </w:rPr>
              <w:t>Gross Profit Margin</w:t>
            </w:r>
          </w:p>
        </w:tc>
        <w:tc>
          <w:tcPr>
            <w:tcW w:type="dxa" w:w="1680"/>
            <w:shd w:fill="FFFFFF"/>
          </w:tcPr>
          <w:p>
            <w:r>
              <w:rPr>
                <w:sz w:val="15"/>
              </w:rPr>
              <w:t>(Revenue - Cost of Materials/Purchases) / Revenue * 100</w:t>
            </w:r>
          </w:p>
        </w:tc>
        <w:tc>
          <w:tcPr>
            <w:tcW w:type="dxa" w:w="1680"/>
            <w:shd w:fill="FFFFFF"/>
          </w:tcPr>
          <w:p>
            <w:pPr>
              <w:jc w:val="right"/>
            </w:pPr>
            <w:r>
              <w:rPr>
                <w:sz w:val="16"/>
              </w:rPr>
              <w:t>45.17 %</w:t>
            </w:r>
          </w:p>
        </w:tc>
        <w:tc>
          <w:tcPr>
            <w:tcW w:type="dxa" w:w="1680"/>
            <w:shd w:fill="FFFFFF"/>
          </w:tcPr>
          <w:p>
            <w:pPr>
              <w:jc w:val="right"/>
            </w:pPr>
            <w:r>
              <w:rPr>
                <w:sz w:val="16"/>
              </w:rPr>
              <w:t>44.92 %</w:t>
            </w:r>
          </w:p>
        </w:tc>
        <w:tc>
          <w:tcPr>
            <w:tcW w:type="dxa" w:w="1680"/>
            <w:shd w:fill="FFFFFF"/>
          </w:tcPr>
          <w:p>
            <w:r>
              <w:rPr>
                <w:sz w:val="15"/>
              </w:rPr>
              <w:t>Industry specific (typically &gt; 20%)</w:t>
            </w:r>
          </w:p>
        </w:tc>
        <w:tc>
          <w:tcPr>
            <w:tcW w:type="dxa" w:w="1680"/>
            <w:shd w:fill="C6F6D5"/>
          </w:tcPr>
          <w:p>
            <w:pPr>
              <w:jc w:val="center"/>
            </w:pPr>
            <w:r>
              <w:rPr>
                <w:b/>
                <w:sz w:val="16"/>
              </w:rPr>
              <w:t>Healthy</w:t>
            </w:r>
          </w:p>
        </w:tc>
      </w:tr>
      <w:tr>
        <w:tc>
          <w:tcPr>
            <w:tcW w:type="dxa" w:w="1680"/>
            <w:shd w:fill="F7FAFC"/>
          </w:tcPr>
          <w:p>
            <w:r>
              <w:rPr>
                <w:b/>
                <w:sz w:val="16"/>
              </w:rPr>
              <w:t>EBITDA Margin</w:t>
            </w:r>
          </w:p>
        </w:tc>
        <w:tc>
          <w:tcPr>
            <w:tcW w:type="dxa" w:w="1680"/>
            <w:shd w:fill="F7FAFC"/>
          </w:tcPr>
          <w:p>
            <w:r>
              <w:rPr>
                <w:sz w:val="15"/>
              </w:rPr>
              <w:t>EBITDA / Revenue from Operations * 100</w:t>
            </w:r>
          </w:p>
        </w:tc>
        <w:tc>
          <w:tcPr>
            <w:tcW w:type="dxa" w:w="1680"/>
            <w:shd w:fill="F7FAFC"/>
          </w:tcPr>
          <w:p>
            <w:pPr>
              <w:jc w:val="right"/>
            </w:pPr>
            <w:r>
              <w:rPr>
                <w:sz w:val="16"/>
              </w:rPr>
              <w:t>13.17 %</w:t>
            </w:r>
          </w:p>
        </w:tc>
        <w:tc>
          <w:tcPr>
            <w:tcW w:type="dxa" w:w="1680"/>
            <w:shd w:fill="F7FAFC"/>
          </w:tcPr>
          <w:p>
            <w:pPr>
              <w:jc w:val="right"/>
            </w:pPr>
            <w:r>
              <w:rPr>
                <w:sz w:val="16"/>
              </w:rPr>
              <w:t>13.77 %</w:t>
            </w:r>
          </w:p>
        </w:tc>
        <w:tc>
          <w:tcPr>
            <w:tcW w:type="dxa" w:w="1680"/>
            <w:shd w:fill="F7FAFC"/>
          </w:tcPr>
          <w:p>
            <w:r>
              <w:rPr>
                <w:sz w:val="15"/>
              </w:rPr>
              <w:t>Higher is better (&gt; 12-15%)</w:t>
            </w:r>
          </w:p>
        </w:tc>
        <w:tc>
          <w:tcPr>
            <w:tcW w:type="dxa" w:w="1680"/>
            <w:shd w:fill="C6F6D5"/>
          </w:tcPr>
          <w:p>
            <w:pPr>
              <w:jc w:val="center"/>
            </w:pPr>
            <w:r>
              <w:rPr>
                <w:b/>
                <w:sz w:val="16"/>
              </w:rPr>
              <w:t>Healthy</w:t>
            </w:r>
          </w:p>
        </w:tc>
      </w:tr>
      <w:tr>
        <w:tc>
          <w:tcPr>
            <w:tcW w:type="dxa" w:w="1680"/>
            <w:shd w:fill="FFFFFF"/>
          </w:tcPr>
          <w:p>
            <w:r>
              <w:rPr>
                <w:b/>
                <w:sz w:val="16"/>
              </w:rPr>
              <w:t>Operating Profit (EBIT) Margin</w:t>
            </w:r>
          </w:p>
        </w:tc>
        <w:tc>
          <w:tcPr>
            <w:tcW w:type="dxa" w:w="1680"/>
            <w:shd w:fill="FFFFFF"/>
          </w:tcPr>
          <w:p>
            <w:r>
              <w:rPr>
                <w:sz w:val="15"/>
              </w:rPr>
              <w:t>EBIT / Revenue from Operations * 100</w:t>
            </w:r>
          </w:p>
        </w:tc>
        <w:tc>
          <w:tcPr>
            <w:tcW w:type="dxa" w:w="1680"/>
            <w:shd w:fill="FFFFFF"/>
          </w:tcPr>
          <w:p>
            <w:pPr>
              <w:jc w:val="right"/>
            </w:pPr>
            <w:r>
              <w:rPr>
                <w:sz w:val="16"/>
              </w:rPr>
              <w:t>9.86 %</w:t>
            </w:r>
          </w:p>
        </w:tc>
        <w:tc>
          <w:tcPr>
            <w:tcW w:type="dxa" w:w="1680"/>
            <w:shd w:fill="FFFFFF"/>
          </w:tcPr>
          <w:p>
            <w:pPr>
              <w:jc w:val="right"/>
            </w:pPr>
            <w:r>
              <w:rPr>
                <w:sz w:val="16"/>
              </w:rPr>
              <w:t>10.33 %</w:t>
            </w:r>
          </w:p>
        </w:tc>
        <w:tc>
          <w:tcPr>
            <w:tcW w:type="dxa" w:w="1680"/>
            <w:shd w:fill="FFFFFF"/>
          </w:tcPr>
          <w:p>
            <w:r>
              <w:rPr>
                <w:sz w:val="15"/>
              </w:rPr>
              <w:t>Higher is better</w:t>
            </w:r>
          </w:p>
        </w:tc>
        <w:tc>
          <w:tcPr>
            <w:tcW w:type="dxa" w:w="1680"/>
          </w:tcPr>
          <w:p>
            <w:pPr>
              <w:jc w:val="center"/>
            </w:pPr>
            <w:r>
              <w:rPr>
                <w:b/>
                <w:sz w:val="16"/>
              </w:rPr>
              <w:t>Moderate</w:t>
            </w:r>
          </w:p>
        </w:tc>
      </w:tr>
      <w:tr>
        <w:tc>
          <w:tcPr>
            <w:tcW w:type="dxa" w:w="1680"/>
            <w:shd w:fill="F7FAFC"/>
          </w:tcPr>
          <w:p>
            <w:r>
              <w:rPr>
                <w:b/>
                <w:sz w:val="16"/>
              </w:rPr>
              <w:t>Net Profit (PAT) Margin</w:t>
            </w:r>
          </w:p>
        </w:tc>
        <w:tc>
          <w:tcPr>
            <w:tcW w:type="dxa" w:w="1680"/>
            <w:shd w:fill="F7FAFC"/>
          </w:tcPr>
          <w:p>
            <w:r>
              <w:rPr>
                <w:sz w:val="15"/>
              </w:rPr>
              <w:t>Profit After Tax / Revenue from Operations * 100</w:t>
            </w:r>
          </w:p>
        </w:tc>
        <w:tc>
          <w:tcPr>
            <w:tcW w:type="dxa" w:w="1680"/>
            <w:shd w:fill="F7FAFC"/>
          </w:tcPr>
          <w:p>
            <w:pPr>
              <w:jc w:val="right"/>
            </w:pPr>
            <w:r>
              <w:rPr>
                <w:sz w:val="16"/>
              </w:rPr>
              <w:t>7.38 %</w:t>
            </w:r>
          </w:p>
        </w:tc>
        <w:tc>
          <w:tcPr>
            <w:tcW w:type="dxa" w:w="1680"/>
            <w:shd w:fill="F7FAFC"/>
          </w:tcPr>
          <w:p>
            <w:pPr>
              <w:jc w:val="right"/>
            </w:pPr>
            <w:r>
              <w:rPr>
                <w:sz w:val="16"/>
              </w:rPr>
              <w:t>7.75 %</w:t>
            </w:r>
          </w:p>
        </w:tc>
        <w:tc>
          <w:tcPr>
            <w:tcW w:type="dxa" w:w="1680"/>
            <w:shd w:fill="F7FAFC"/>
          </w:tcPr>
          <w:p>
            <w:r>
              <w:rPr>
                <w:sz w:val="15"/>
              </w:rPr>
              <w:t>Higher is better (&gt; 5-10%)</w:t>
            </w:r>
          </w:p>
        </w:tc>
        <w:tc>
          <w:tcPr>
            <w:tcW w:type="dxa" w:w="1680"/>
          </w:tcPr>
          <w:p>
            <w:pPr>
              <w:jc w:val="center"/>
            </w:pPr>
            <w:r>
              <w:rPr>
                <w:b/>
                <w:sz w:val="16"/>
              </w:rPr>
              <w:t>Moderate</w:t>
            </w:r>
          </w:p>
        </w:tc>
      </w:tr>
      <w:tr>
        <w:tc>
          <w:tcPr>
            <w:tcW w:type="dxa" w:w="1680"/>
            <w:shd w:fill="FFFFFF"/>
          </w:tcPr>
          <w:p>
            <w:r>
              <w:rPr>
                <w:b/>
                <w:sz w:val="16"/>
              </w:rPr>
              <w:t>Return on Equity (ROE)</w:t>
            </w:r>
          </w:p>
        </w:tc>
        <w:tc>
          <w:tcPr>
            <w:tcW w:type="dxa" w:w="1680"/>
            <w:shd w:fill="FFFFFF"/>
          </w:tcPr>
          <w:p>
            <w:r>
              <w:rPr>
                <w:sz w:val="15"/>
              </w:rPr>
              <w:t>Profit After Tax / Total Net Worth (Equity) * 100</w:t>
            </w:r>
          </w:p>
        </w:tc>
        <w:tc>
          <w:tcPr>
            <w:tcW w:type="dxa" w:w="1680"/>
            <w:shd w:fill="FFFFFF"/>
          </w:tcPr>
          <w:p>
            <w:pPr>
              <w:jc w:val="right"/>
            </w:pPr>
            <w:r>
              <w:rPr>
                <w:sz w:val="16"/>
              </w:rPr>
              <w:t>17.54 %</w:t>
            </w:r>
          </w:p>
        </w:tc>
        <w:tc>
          <w:tcPr>
            <w:tcW w:type="dxa" w:w="1680"/>
            <w:shd w:fill="FFFFFF"/>
          </w:tcPr>
          <w:p>
            <w:pPr>
              <w:jc w:val="right"/>
            </w:pPr>
            <w:r>
              <w:rPr>
                <w:sz w:val="16"/>
              </w:rPr>
              <w:t>17.31 %</w:t>
            </w:r>
          </w:p>
        </w:tc>
        <w:tc>
          <w:tcPr>
            <w:tcW w:type="dxa" w:w="1680"/>
            <w:shd w:fill="FFFFFF"/>
          </w:tcPr>
          <w:p>
            <w:r>
              <w:rPr>
                <w:sz w:val="15"/>
              </w:rPr>
              <w:t>Benchmark: &gt; 12-15%</w:t>
            </w:r>
          </w:p>
        </w:tc>
        <w:tc>
          <w:tcPr>
            <w:tcW w:type="dxa" w:w="1680"/>
            <w:shd w:fill="C6F6D5"/>
          </w:tcPr>
          <w:p>
            <w:pPr>
              <w:jc w:val="center"/>
            </w:pPr>
            <w:r>
              <w:rPr>
                <w:b/>
                <w:sz w:val="16"/>
              </w:rPr>
              <w:t>Healthy</w:t>
            </w:r>
          </w:p>
        </w:tc>
      </w:tr>
      <w:tr>
        <w:tc>
          <w:tcPr>
            <w:tcW w:type="dxa" w:w="1680"/>
            <w:shd w:fill="F7FAFC"/>
          </w:tcPr>
          <w:p>
            <w:r>
              <w:rPr>
                <w:b/>
                <w:sz w:val="16"/>
              </w:rPr>
              <w:t>Return on Capital Employed (ROCE)</w:t>
            </w:r>
          </w:p>
        </w:tc>
        <w:tc>
          <w:tcPr>
            <w:tcW w:type="dxa" w:w="1680"/>
            <w:shd w:fill="F7FAFC"/>
          </w:tcPr>
          <w:p>
            <w:r>
              <w:rPr>
                <w:sz w:val="15"/>
              </w:rPr>
              <w:t>EBIT / (Net Worth + Long-Term Debt) * 100</w:t>
            </w:r>
          </w:p>
        </w:tc>
        <w:tc>
          <w:tcPr>
            <w:tcW w:type="dxa" w:w="1680"/>
            <w:shd w:fill="F7FAFC"/>
          </w:tcPr>
          <w:p>
            <w:pPr>
              <w:jc w:val="right"/>
            </w:pPr>
            <w:r>
              <w:rPr>
                <w:sz w:val="16"/>
              </w:rPr>
              <w:t>17.44 %</w:t>
            </w:r>
          </w:p>
        </w:tc>
        <w:tc>
          <w:tcPr>
            <w:tcW w:type="dxa" w:w="1680"/>
            <w:shd w:fill="F7FAFC"/>
          </w:tcPr>
          <w:p>
            <w:pPr>
              <w:jc w:val="right"/>
            </w:pPr>
            <w:r>
              <w:rPr>
                <w:sz w:val="16"/>
              </w:rPr>
              <w:t>17.72 %</w:t>
            </w:r>
          </w:p>
        </w:tc>
        <w:tc>
          <w:tcPr>
            <w:tcW w:type="dxa" w:w="1680"/>
            <w:shd w:fill="F7FAFC"/>
          </w:tcPr>
          <w:p>
            <w:r>
              <w:rPr>
                <w:sz w:val="15"/>
              </w:rPr>
              <w:t>Benchmark: &gt; Cost of Debt / &gt; 15%</w:t>
            </w:r>
          </w:p>
        </w:tc>
        <w:tc>
          <w:tcPr>
            <w:tcW w:type="dxa" w:w="1680"/>
            <w:shd w:fill="C6F6D5"/>
          </w:tcPr>
          <w:p>
            <w:pPr>
              <w:jc w:val="center"/>
            </w:pPr>
            <w:r>
              <w:rPr>
                <w:b/>
                <w:sz w:val="16"/>
              </w:rPr>
              <w:t>Healthy</w:t>
            </w:r>
          </w:p>
        </w:tc>
      </w:tr>
      <w:tr>
        <w:tc>
          <w:tcPr>
            <w:tcW w:type="dxa" w:w="1680"/>
            <w:shd w:fill="FFFFFF"/>
          </w:tcPr>
          <w:p>
            <w:r>
              <w:rPr>
                <w:b/>
                <w:sz w:val="16"/>
              </w:rPr>
              <w:t>Return on Assets (ROA)</w:t>
            </w:r>
          </w:p>
        </w:tc>
        <w:tc>
          <w:tcPr>
            <w:tcW w:type="dxa" w:w="1680"/>
            <w:shd w:fill="FFFFFF"/>
          </w:tcPr>
          <w:p>
            <w:r>
              <w:rPr>
                <w:sz w:val="15"/>
              </w:rPr>
              <w:t>Profit After Tax / Total Assets * 100</w:t>
            </w:r>
          </w:p>
        </w:tc>
        <w:tc>
          <w:tcPr>
            <w:tcW w:type="dxa" w:w="1680"/>
            <w:shd w:fill="FFFFFF"/>
          </w:tcPr>
          <w:p>
            <w:pPr>
              <w:jc w:val="right"/>
            </w:pPr>
            <w:r>
              <w:rPr>
                <w:sz w:val="16"/>
              </w:rPr>
              <w:t>12.92 %</w:t>
            </w:r>
          </w:p>
        </w:tc>
        <w:tc>
          <w:tcPr>
            <w:tcW w:type="dxa" w:w="1680"/>
            <w:shd w:fill="FFFFFF"/>
          </w:tcPr>
          <w:p>
            <w:pPr>
              <w:jc w:val="right"/>
            </w:pPr>
            <w:r>
              <w:rPr>
                <w:sz w:val="16"/>
              </w:rPr>
              <w:t>13.60 %</w:t>
            </w:r>
          </w:p>
        </w:tc>
        <w:tc>
          <w:tcPr>
            <w:tcW w:type="dxa" w:w="1680"/>
            <w:shd w:fill="FFFFFF"/>
          </w:tcPr>
          <w:p>
            <w:r>
              <w:rPr>
                <w:sz w:val="15"/>
              </w:rPr>
              <w:t>Standard: &gt; 5-8%</w:t>
            </w:r>
          </w:p>
        </w:tc>
        <w:tc>
          <w:tcPr>
            <w:tcW w:type="dxa" w:w="1680"/>
          </w:tcPr>
          <w:p>
            <w:pPr>
              <w:jc w:val="center"/>
            </w:pPr>
            <w:r>
              <w:rPr>
                <w:b/>
                <w:sz w:val="16"/>
              </w:rPr>
              <w:t>Normal</w:t>
            </w:r>
          </w:p>
        </w:tc>
      </w:tr>
    </w:tbl>
    <w:p>
      <w:pPr>
        <w:spacing w:after="160"/>
      </w:pPr>
    </w:p>
    <w:p>
      <w:pPr>
        <w:pStyle w:val="Heading2"/>
      </w:pPr>
      <w:r>
        <w:rPr>
          <w:rFonts w:ascii="Segoe UI" w:hAnsi="Segoe UI"/>
          <w:color w:val="2B6CB0"/>
        </w:rPr>
        <w:t>Solvency &amp; Leverage Ratios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A365D"/>
          </w:tcPr>
          <w:p>
            <w:pPr>
              <w:jc w:val="left"/>
            </w:pPr>
            <w:r>
              <w:rPr>
                <w:rFonts w:ascii="Segoe UI" w:hAnsi="Segoe UI"/>
                <w:b/>
                <w:color w:val="FFFFFF"/>
                <w:sz w:val="17"/>
              </w:rPr>
              <w:t>Ratio Name</w:t>
            </w:r>
          </w:p>
        </w:tc>
        <w:tc>
          <w:tcPr>
            <w:tcW w:type="dxa" w:w="1680"/>
            <w:shd w:fill="1A365D"/>
          </w:tcPr>
          <w:p>
            <w:pPr>
              <w:jc w:val="left"/>
            </w:pPr>
            <w:r>
              <w:rPr>
                <w:rFonts w:ascii="Segoe UI" w:hAnsi="Segoe UI"/>
                <w:b/>
                <w:color w:val="FFFFFF"/>
                <w:sz w:val="17"/>
              </w:rPr>
              <w:t>Formula</w:t>
            </w:r>
          </w:p>
        </w:tc>
        <w:tc>
          <w:tcPr>
            <w:tcW w:type="dxa" w:w="1680"/>
            <w:shd w:fill="1A365D"/>
          </w:tcPr>
          <w:p>
            <w:pPr>
              <w:jc w:val="center"/>
            </w:pPr>
            <w:r>
              <w:rPr>
                <w:rFonts w:ascii="Segoe UI" w:hAnsi="Segoe UI"/>
                <w:b/>
                <w:color w:val="FFFFFF"/>
                <w:sz w:val="17"/>
              </w:rPr>
              <w:t>Current</w:t>
            </w:r>
          </w:p>
        </w:tc>
        <w:tc>
          <w:tcPr>
            <w:tcW w:type="dxa" w:w="1680"/>
            <w:shd w:fill="1A365D"/>
          </w:tcPr>
          <w:p>
            <w:pPr>
              <w:jc w:val="center"/>
            </w:pPr>
            <w:r>
              <w:rPr>
                <w:rFonts w:ascii="Segoe UI" w:hAnsi="Segoe UI"/>
                <w:b/>
                <w:color w:val="FFFFFF"/>
                <w:sz w:val="17"/>
              </w:rPr>
              <w:t>Previous</w:t>
            </w:r>
          </w:p>
        </w:tc>
        <w:tc>
          <w:tcPr>
            <w:tcW w:type="dxa" w:w="1680"/>
            <w:shd w:fill="1A365D"/>
          </w:tcPr>
          <w:p>
            <w:pPr>
              <w:jc w:val="center"/>
            </w:pPr>
            <w:r>
              <w:rPr>
                <w:rFonts w:ascii="Segoe UI" w:hAnsi="Segoe UI"/>
                <w:b/>
                <w:color w:val="FFFFFF"/>
                <w:sz w:val="17"/>
              </w:rPr>
              <w:t>Benchmark</w:t>
            </w:r>
          </w:p>
        </w:tc>
        <w:tc>
          <w:tcPr>
            <w:tcW w:type="dxa" w:w="1680"/>
            <w:shd w:fill="1A365D"/>
          </w:tcPr>
          <w:p>
            <w:pPr>
              <w:jc w:val="center"/>
            </w:pPr>
            <w:r>
              <w:rPr>
                <w:rFonts w:ascii="Segoe UI" w:hAnsi="Segoe UI"/>
                <w:b/>
                <w:color w:val="FFFFFF"/>
                <w:sz w:val="17"/>
              </w:rPr>
              <w:t>Status</w:t>
            </w:r>
          </w:p>
        </w:tc>
      </w:tr>
      <w:tr>
        <w:tc>
          <w:tcPr>
            <w:tcW w:type="dxa" w:w="1680"/>
            <w:shd w:fill="FFFFFF"/>
          </w:tcPr>
          <w:p>
            <w:r>
              <w:rPr>
                <w:b/>
                <w:sz w:val="16"/>
              </w:rPr>
              <w:t>Debt-Equity Ratio</w:t>
            </w:r>
          </w:p>
        </w:tc>
        <w:tc>
          <w:tcPr>
            <w:tcW w:type="dxa" w:w="1680"/>
            <w:shd w:fill="FFFFFF"/>
          </w:tcPr>
          <w:p>
            <w:r>
              <w:rPr>
                <w:sz w:val="15"/>
              </w:rPr>
              <w:t>Total Debt (Long + Short Term) / Net Worth</w:t>
            </w:r>
          </w:p>
        </w:tc>
        <w:tc>
          <w:tcPr>
            <w:tcW w:type="dxa" w:w="1680"/>
            <w:shd w:fill="FFFFFF"/>
          </w:tcPr>
          <w:p>
            <w:pPr>
              <w:jc w:val="right"/>
            </w:pPr>
            <w:r>
              <w:rPr>
                <w:sz w:val="16"/>
              </w:rPr>
              <w:t>0.34 x</w:t>
            </w:r>
          </w:p>
        </w:tc>
        <w:tc>
          <w:tcPr>
            <w:tcW w:type="dxa" w:w="1680"/>
            <w:shd w:fill="FFFFFF"/>
          </w:tcPr>
          <w:p>
            <w:pPr>
              <w:jc w:val="right"/>
            </w:pPr>
            <w:r>
              <w:rPr>
                <w:sz w:val="16"/>
              </w:rPr>
              <w:t>0.30 x</w:t>
            </w:r>
          </w:p>
        </w:tc>
        <w:tc>
          <w:tcPr>
            <w:tcW w:type="dxa" w:w="1680"/>
            <w:shd w:fill="FFFFFF"/>
          </w:tcPr>
          <w:p>
            <w:r>
              <w:rPr>
                <w:sz w:val="15"/>
              </w:rPr>
              <w:t>Standard: &lt;= 1.50x - 2.00x</w:t>
            </w:r>
          </w:p>
        </w:tc>
        <w:tc>
          <w:tcPr>
            <w:tcW w:type="dxa" w:w="1680"/>
            <w:shd w:fill="C6F6D5"/>
          </w:tcPr>
          <w:p>
            <w:pPr>
              <w:jc w:val="center"/>
            </w:pPr>
            <w:r>
              <w:rPr>
                <w:b/>
                <w:sz w:val="16"/>
              </w:rPr>
              <w:t>Healthy</w:t>
            </w:r>
          </w:p>
        </w:tc>
      </w:tr>
      <w:tr>
        <w:tc>
          <w:tcPr>
            <w:tcW w:type="dxa" w:w="1680"/>
            <w:shd w:fill="F7FAFC"/>
          </w:tcPr>
          <w:p>
            <w:r>
              <w:rPr>
                <w:b/>
                <w:sz w:val="16"/>
              </w:rPr>
              <w:t>Total Debt to Total Assets</w:t>
            </w:r>
          </w:p>
        </w:tc>
        <w:tc>
          <w:tcPr>
            <w:tcW w:type="dxa" w:w="1680"/>
            <w:shd w:fill="F7FAFC"/>
          </w:tcPr>
          <w:p>
            <w:r>
              <w:rPr>
                <w:sz w:val="15"/>
              </w:rPr>
              <w:t>Total Borrowings / Total Assets</w:t>
            </w:r>
          </w:p>
        </w:tc>
        <w:tc>
          <w:tcPr>
            <w:tcW w:type="dxa" w:w="1680"/>
            <w:shd w:fill="F7FAFC"/>
          </w:tcPr>
          <w:p>
            <w:pPr>
              <w:jc w:val="right"/>
            </w:pPr>
            <w:r>
              <w:rPr>
                <w:sz w:val="16"/>
              </w:rPr>
              <w:t>0.25 x</w:t>
            </w:r>
          </w:p>
        </w:tc>
        <w:tc>
          <w:tcPr>
            <w:tcW w:type="dxa" w:w="1680"/>
            <w:shd w:fill="F7FAFC"/>
          </w:tcPr>
          <w:p>
            <w:pPr>
              <w:jc w:val="right"/>
            </w:pPr>
            <w:r>
              <w:rPr>
                <w:sz w:val="16"/>
              </w:rPr>
              <w:t>0.24 x</w:t>
            </w:r>
          </w:p>
        </w:tc>
        <w:tc>
          <w:tcPr>
            <w:tcW w:type="dxa" w:w="1680"/>
            <w:shd w:fill="F7FAFC"/>
          </w:tcPr>
          <w:p>
            <w:r>
              <w:rPr>
                <w:sz w:val="15"/>
              </w:rPr>
              <w:t>Ideal: &lt; 0.50x</w:t>
            </w:r>
          </w:p>
        </w:tc>
        <w:tc>
          <w:tcPr>
            <w:tcW w:type="dxa" w:w="1680"/>
          </w:tcPr>
          <w:p>
            <w:pPr>
              <w:jc w:val="center"/>
            </w:pPr>
            <w:r>
              <w:rPr>
                <w:b/>
                <w:sz w:val="16"/>
              </w:rPr>
              <w:t>Normal</w:t>
            </w:r>
          </w:p>
        </w:tc>
      </w:tr>
      <w:tr>
        <w:tc>
          <w:tcPr>
            <w:tcW w:type="dxa" w:w="1680"/>
            <w:shd w:fill="FFFFFF"/>
          </w:tcPr>
          <w:p>
            <w:r>
              <w:rPr>
                <w:b/>
                <w:sz w:val="16"/>
              </w:rPr>
              <w:t>Interest Coverage Ratio (ICR)</w:t>
            </w:r>
          </w:p>
        </w:tc>
        <w:tc>
          <w:tcPr>
            <w:tcW w:type="dxa" w:w="1680"/>
            <w:shd w:fill="FFFFFF"/>
          </w:tcPr>
          <w:p>
            <w:r>
              <w:rPr>
                <w:sz w:val="15"/>
              </w:rPr>
              <w:t>EBIT / Finance Costs</w:t>
            </w:r>
          </w:p>
        </w:tc>
        <w:tc>
          <w:tcPr>
            <w:tcW w:type="dxa" w:w="1680"/>
            <w:shd w:fill="FFFFFF"/>
          </w:tcPr>
          <w:p>
            <w:pPr>
              <w:jc w:val="right"/>
            </w:pPr>
            <w:r>
              <w:rPr>
                <w:sz w:val="16"/>
              </w:rPr>
              <w:t>N/A</w:t>
            </w:r>
          </w:p>
        </w:tc>
        <w:tc>
          <w:tcPr>
            <w:tcW w:type="dxa" w:w="1680"/>
            <w:shd w:fill="FFFFFF"/>
          </w:tcPr>
          <w:p>
            <w:pPr>
              <w:jc w:val="right"/>
            </w:pPr>
            <w:r>
              <w:rPr>
                <w:sz w:val="16"/>
              </w:rPr>
              <w:t>N/A</w:t>
            </w:r>
          </w:p>
        </w:tc>
        <w:tc>
          <w:tcPr>
            <w:tcW w:type="dxa" w:w="1680"/>
            <w:shd w:fill="FFFFFF"/>
          </w:tcPr>
          <w:p>
            <w:r>
              <w:rPr>
                <w:sz w:val="15"/>
              </w:rPr>
              <w:t>Safe: &gt;= 2.50x - 3.00x</w:t>
            </w:r>
          </w:p>
        </w:tc>
        <w:tc>
          <w:tcPr>
            <w:tcW w:type="dxa" w:w="1680"/>
          </w:tcPr>
          <w:p>
            <w:pPr>
              <w:jc w:val="center"/>
            </w:pPr>
            <w:r>
              <w:rPr>
                <w:b/>
                <w:sz w:val="16"/>
              </w:rPr>
              <w:t>N/A</w:t>
            </w:r>
          </w:p>
        </w:tc>
      </w:tr>
      <w:tr>
        <w:tc>
          <w:tcPr>
            <w:tcW w:type="dxa" w:w="1680"/>
            <w:shd w:fill="F7FAFC"/>
          </w:tcPr>
          <w:p>
            <w:r>
              <w:rPr>
                <w:b/>
                <w:sz w:val="16"/>
              </w:rPr>
              <w:t>Debt Service Coverage Ratio (DSCR)</w:t>
            </w:r>
          </w:p>
        </w:tc>
        <w:tc>
          <w:tcPr>
            <w:tcW w:type="dxa" w:w="1680"/>
            <w:shd w:fill="F7FAFC"/>
          </w:tcPr>
          <w:p>
            <w:r>
              <w:rPr>
                <w:sz w:val="15"/>
              </w:rPr>
              <w:t>(PAT + Depreciation + Finance Costs) / (Finance Costs + Est. Principal Repayment)</w:t>
            </w:r>
          </w:p>
        </w:tc>
        <w:tc>
          <w:tcPr>
            <w:tcW w:type="dxa" w:w="1680"/>
            <w:shd w:fill="F7FAFC"/>
          </w:tcPr>
          <w:p>
            <w:pPr>
              <w:jc w:val="right"/>
            </w:pPr>
            <w:r>
              <w:rPr>
                <w:sz w:val="16"/>
              </w:rPr>
              <w:t>N/A</w:t>
            </w:r>
          </w:p>
        </w:tc>
        <w:tc>
          <w:tcPr>
            <w:tcW w:type="dxa" w:w="1680"/>
            <w:shd w:fill="F7FAFC"/>
          </w:tcPr>
          <w:p>
            <w:pPr>
              <w:jc w:val="right"/>
            </w:pPr>
            <w:r>
              <w:rPr>
                <w:sz w:val="16"/>
              </w:rPr>
              <w:t>N/A</w:t>
            </w:r>
          </w:p>
        </w:tc>
        <w:tc>
          <w:tcPr>
            <w:tcW w:type="dxa" w:w="1680"/>
            <w:shd w:fill="F7FAFC"/>
          </w:tcPr>
          <w:p>
            <w:r>
              <w:rPr>
                <w:sz w:val="15"/>
              </w:rPr>
              <w:t>Bank Benchmark: &gt;= 1.50x - 2.00x</w:t>
            </w:r>
          </w:p>
        </w:tc>
        <w:tc>
          <w:tcPr>
            <w:tcW w:type="dxa" w:w="1680"/>
          </w:tcPr>
          <w:p>
            <w:pPr>
              <w:jc w:val="center"/>
            </w:pPr>
            <w:r>
              <w:rPr>
                <w:b/>
                <w:sz w:val="16"/>
              </w:rPr>
              <w:t>N/A</w:t>
            </w:r>
          </w:p>
        </w:tc>
      </w:tr>
      <w:tr>
        <w:tc>
          <w:tcPr>
            <w:tcW w:type="dxa" w:w="1680"/>
            <w:shd w:fill="FFFFFF"/>
          </w:tcPr>
          <w:p>
            <w:r>
              <w:rPr>
                <w:b/>
                <w:sz w:val="16"/>
              </w:rPr>
              <w:t>Proprietary Ratio</w:t>
            </w:r>
          </w:p>
        </w:tc>
        <w:tc>
          <w:tcPr>
            <w:tcW w:type="dxa" w:w="1680"/>
            <w:shd w:fill="FFFFFF"/>
          </w:tcPr>
          <w:p>
            <w:r>
              <w:rPr>
                <w:sz w:val="15"/>
              </w:rPr>
              <w:t>Shareholders Equity / Total Assets</w:t>
            </w:r>
          </w:p>
        </w:tc>
        <w:tc>
          <w:tcPr>
            <w:tcW w:type="dxa" w:w="1680"/>
            <w:shd w:fill="FFFFFF"/>
          </w:tcPr>
          <w:p>
            <w:pPr>
              <w:jc w:val="right"/>
            </w:pPr>
            <w:r>
              <w:rPr>
                <w:sz w:val="16"/>
              </w:rPr>
              <w:t>0.74 x</w:t>
            </w:r>
          </w:p>
        </w:tc>
        <w:tc>
          <w:tcPr>
            <w:tcW w:type="dxa" w:w="1680"/>
            <w:shd w:fill="FFFFFF"/>
          </w:tcPr>
          <w:p>
            <w:pPr>
              <w:jc w:val="right"/>
            </w:pPr>
            <w:r>
              <w:rPr>
                <w:sz w:val="16"/>
              </w:rPr>
              <w:t>0.79 x</w:t>
            </w:r>
          </w:p>
        </w:tc>
        <w:tc>
          <w:tcPr>
            <w:tcW w:type="dxa" w:w="1680"/>
            <w:shd w:fill="FFFFFF"/>
          </w:tcPr>
          <w:p>
            <w:r>
              <w:rPr>
                <w:sz w:val="15"/>
              </w:rPr>
              <w:t>Safe: &gt; 0.35x - 0.50x</w:t>
            </w:r>
          </w:p>
        </w:tc>
        <w:tc>
          <w:tcPr>
            <w:tcW w:type="dxa" w:w="1680"/>
          </w:tcPr>
          <w:p>
            <w:pPr>
              <w:jc w:val="center"/>
            </w:pPr>
            <w:r>
              <w:rPr>
                <w:b/>
                <w:sz w:val="16"/>
              </w:rPr>
              <w:t>Normal</w:t>
            </w:r>
          </w:p>
        </w:tc>
      </w:tr>
    </w:tbl>
    <w:p>
      <w:pPr>
        <w:spacing w:after="160"/>
      </w:pPr>
    </w:p>
    <w:p>
      <w:pPr>
        <w:pStyle w:val="Heading2"/>
      </w:pPr>
      <w:r>
        <w:rPr>
          <w:rFonts w:ascii="Segoe UI" w:hAnsi="Segoe UI"/>
          <w:color w:val="2B6CB0"/>
        </w:rPr>
        <w:t>Activity &amp; Efficiency Ratios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A365D"/>
          </w:tcPr>
          <w:p>
            <w:pPr>
              <w:jc w:val="left"/>
            </w:pPr>
            <w:r>
              <w:rPr>
                <w:rFonts w:ascii="Segoe UI" w:hAnsi="Segoe UI"/>
                <w:b/>
                <w:color w:val="FFFFFF"/>
                <w:sz w:val="17"/>
              </w:rPr>
              <w:t>Ratio Name</w:t>
            </w:r>
          </w:p>
        </w:tc>
        <w:tc>
          <w:tcPr>
            <w:tcW w:type="dxa" w:w="1680"/>
            <w:shd w:fill="1A365D"/>
          </w:tcPr>
          <w:p>
            <w:pPr>
              <w:jc w:val="left"/>
            </w:pPr>
            <w:r>
              <w:rPr>
                <w:rFonts w:ascii="Segoe UI" w:hAnsi="Segoe UI"/>
                <w:b/>
                <w:color w:val="FFFFFF"/>
                <w:sz w:val="17"/>
              </w:rPr>
              <w:t>Formula</w:t>
            </w:r>
          </w:p>
        </w:tc>
        <w:tc>
          <w:tcPr>
            <w:tcW w:type="dxa" w:w="1680"/>
            <w:shd w:fill="1A365D"/>
          </w:tcPr>
          <w:p>
            <w:pPr>
              <w:jc w:val="center"/>
            </w:pPr>
            <w:r>
              <w:rPr>
                <w:rFonts w:ascii="Segoe UI" w:hAnsi="Segoe UI"/>
                <w:b/>
                <w:color w:val="FFFFFF"/>
                <w:sz w:val="17"/>
              </w:rPr>
              <w:t>Current</w:t>
            </w:r>
          </w:p>
        </w:tc>
        <w:tc>
          <w:tcPr>
            <w:tcW w:type="dxa" w:w="1680"/>
            <w:shd w:fill="1A365D"/>
          </w:tcPr>
          <w:p>
            <w:pPr>
              <w:jc w:val="center"/>
            </w:pPr>
            <w:r>
              <w:rPr>
                <w:rFonts w:ascii="Segoe UI" w:hAnsi="Segoe UI"/>
                <w:b/>
                <w:color w:val="FFFFFF"/>
                <w:sz w:val="17"/>
              </w:rPr>
              <w:t>Previous</w:t>
            </w:r>
          </w:p>
        </w:tc>
        <w:tc>
          <w:tcPr>
            <w:tcW w:type="dxa" w:w="1680"/>
            <w:shd w:fill="1A365D"/>
          </w:tcPr>
          <w:p>
            <w:pPr>
              <w:jc w:val="center"/>
            </w:pPr>
            <w:r>
              <w:rPr>
                <w:rFonts w:ascii="Segoe UI" w:hAnsi="Segoe UI"/>
                <w:b/>
                <w:color w:val="FFFFFF"/>
                <w:sz w:val="17"/>
              </w:rPr>
              <w:t>Benchmark</w:t>
            </w:r>
          </w:p>
        </w:tc>
        <w:tc>
          <w:tcPr>
            <w:tcW w:type="dxa" w:w="1680"/>
            <w:shd w:fill="1A365D"/>
          </w:tcPr>
          <w:p>
            <w:pPr>
              <w:jc w:val="center"/>
            </w:pPr>
            <w:r>
              <w:rPr>
                <w:rFonts w:ascii="Segoe UI" w:hAnsi="Segoe UI"/>
                <w:b/>
                <w:color w:val="FFFFFF"/>
                <w:sz w:val="17"/>
              </w:rPr>
              <w:t>Status</w:t>
            </w:r>
          </w:p>
        </w:tc>
      </w:tr>
      <w:tr>
        <w:tc>
          <w:tcPr>
            <w:tcW w:type="dxa" w:w="1680"/>
            <w:shd w:fill="FFFFFF"/>
          </w:tcPr>
          <w:p>
            <w:r>
              <w:rPr>
                <w:b/>
                <w:sz w:val="16"/>
              </w:rPr>
              <w:t>Inventory Turnover Ratio</w:t>
            </w:r>
          </w:p>
        </w:tc>
        <w:tc>
          <w:tcPr>
            <w:tcW w:type="dxa" w:w="1680"/>
            <w:shd w:fill="FFFFFF"/>
          </w:tcPr>
          <w:p>
            <w:r>
              <w:rPr>
                <w:sz w:val="15"/>
              </w:rPr>
              <w:t>Cost of Materials / Average Inventory</w:t>
            </w:r>
          </w:p>
        </w:tc>
        <w:tc>
          <w:tcPr>
            <w:tcW w:type="dxa" w:w="1680"/>
            <w:shd w:fill="FFFFFF"/>
          </w:tcPr>
          <w:p>
            <w:pPr>
              <w:jc w:val="right"/>
            </w:pPr>
            <w:r>
              <w:rPr>
                <w:sz w:val="16"/>
              </w:rPr>
              <w:t>N/A</w:t>
            </w:r>
          </w:p>
        </w:tc>
        <w:tc>
          <w:tcPr>
            <w:tcW w:type="dxa" w:w="1680"/>
            <w:shd w:fill="FFFFFF"/>
          </w:tcPr>
          <w:p>
            <w:pPr>
              <w:jc w:val="right"/>
            </w:pPr>
            <w:r>
              <w:rPr>
                <w:sz w:val="16"/>
              </w:rPr>
              <w:t>N/A</w:t>
            </w:r>
          </w:p>
        </w:tc>
        <w:tc>
          <w:tcPr>
            <w:tcW w:type="dxa" w:w="1680"/>
            <w:shd w:fill="FFFFFF"/>
          </w:tcPr>
          <w:p>
            <w:r>
              <w:rPr>
                <w:sz w:val="15"/>
              </w:rPr>
              <w:t>Higher is better</w:t>
            </w:r>
          </w:p>
        </w:tc>
        <w:tc>
          <w:tcPr>
            <w:tcW w:type="dxa" w:w="1680"/>
          </w:tcPr>
          <w:p>
            <w:pPr>
              <w:jc w:val="center"/>
            </w:pPr>
            <w:r>
              <w:rPr>
                <w:b/>
                <w:sz w:val="16"/>
              </w:rPr>
              <w:t>N/A</w:t>
            </w:r>
          </w:p>
        </w:tc>
      </w:tr>
      <w:tr>
        <w:tc>
          <w:tcPr>
            <w:tcW w:type="dxa" w:w="1680"/>
            <w:shd w:fill="F7FAFC"/>
          </w:tcPr>
          <w:p>
            <w:r>
              <w:rPr>
                <w:b/>
                <w:sz w:val="16"/>
              </w:rPr>
              <w:t>Trade Receivables Turnover (DSO)</w:t>
            </w:r>
          </w:p>
        </w:tc>
        <w:tc>
          <w:tcPr>
            <w:tcW w:type="dxa" w:w="1680"/>
            <w:shd w:fill="F7FAFC"/>
          </w:tcPr>
          <w:p>
            <w:r>
              <w:rPr>
                <w:sz w:val="15"/>
              </w:rPr>
              <w:t>Revenue from Operations / Average Receivables</w:t>
            </w:r>
          </w:p>
        </w:tc>
        <w:tc>
          <w:tcPr>
            <w:tcW w:type="dxa" w:w="1680"/>
            <w:shd w:fill="F7FAFC"/>
          </w:tcPr>
          <w:p>
            <w:pPr>
              <w:jc w:val="right"/>
            </w:pPr>
            <w:r>
              <w:rPr>
                <w:sz w:val="16"/>
              </w:rPr>
              <w:t>7.38 x</w:t>
            </w:r>
          </w:p>
        </w:tc>
        <w:tc>
          <w:tcPr>
            <w:tcW w:type="dxa" w:w="1680"/>
            <w:shd w:fill="F7FAFC"/>
          </w:tcPr>
          <w:p>
            <w:pPr>
              <w:jc w:val="right"/>
            </w:pPr>
            <w:r>
              <w:rPr>
                <w:sz w:val="16"/>
              </w:rPr>
              <w:t>N/A</w:t>
            </w:r>
          </w:p>
        </w:tc>
        <w:tc>
          <w:tcPr>
            <w:tcW w:type="dxa" w:w="1680"/>
            <w:shd w:fill="F7FAFC"/>
          </w:tcPr>
          <w:p>
            <w:r>
              <w:rPr>
                <w:sz w:val="15"/>
              </w:rPr>
              <w:t>Higher velocity / lower DSO is better</w:t>
            </w:r>
          </w:p>
        </w:tc>
        <w:tc>
          <w:tcPr>
            <w:tcW w:type="dxa" w:w="1680"/>
          </w:tcPr>
          <w:p>
            <w:pPr>
              <w:jc w:val="center"/>
            </w:pPr>
            <w:r>
              <w:rPr>
                <w:b/>
                <w:sz w:val="16"/>
              </w:rPr>
              <w:t>Normal</w:t>
            </w:r>
          </w:p>
        </w:tc>
      </w:tr>
      <w:tr>
        <w:tc>
          <w:tcPr>
            <w:tcW w:type="dxa" w:w="1680"/>
            <w:shd w:fill="FFFFFF"/>
          </w:tcPr>
          <w:p>
            <w:r>
              <w:rPr>
                <w:b/>
                <w:sz w:val="16"/>
              </w:rPr>
              <w:t>Trade Payables Turnover (DPO)</w:t>
            </w:r>
          </w:p>
        </w:tc>
        <w:tc>
          <w:tcPr>
            <w:tcW w:type="dxa" w:w="1680"/>
            <w:shd w:fill="FFFFFF"/>
          </w:tcPr>
          <w:p>
            <w:r>
              <w:rPr>
                <w:sz w:val="15"/>
              </w:rPr>
              <w:t>Cost of Materials / Average Trade Payables</w:t>
            </w:r>
          </w:p>
        </w:tc>
        <w:tc>
          <w:tcPr>
            <w:tcW w:type="dxa" w:w="1680"/>
            <w:shd w:fill="FFFFFF"/>
          </w:tcPr>
          <w:p>
            <w:pPr>
              <w:jc w:val="right"/>
            </w:pPr>
            <w:r>
              <w:rPr>
                <w:sz w:val="16"/>
              </w:rPr>
              <w:t>6.19 x</w:t>
            </w:r>
          </w:p>
        </w:tc>
        <w:tc>
          <w:tcPr>
            <w:tcW w:type="dxa" w:w="1680"/>
            <w:shd w:fill="FFFFFF"/>
          </w:tcPr>
          <w:p>
            <w:pPr>
              <w:jc w:val="right"/>
            </w:pPr>
            <w:r>
              <w:rPr>
                <w:sz w:val="16"/>
              </w:rPr>
              <w:t>N/A</w:t>
            </w:r>
          </w:p>
        </w:tc>
        <w:tc>
          <w:tcPr>
            <w:tcW w:type="dxa" w:w="1680"/>
            <w:shd w:fill="FFFFFF"/>
          </w:tcPr>
          <w:p>
            <w:r>
              <w:rPr>
                <w:sz w:val="15"/>
              </w:rPr>
              <w:t>Balanced credit term management</w:t>
            </w:r>
          </w:p>
        </w:tc>
        <w:tc>
          <w:tcPr>
            <w:tcW w:type="dxa" w:w="1680"/>
          </w:tcPr>
          <w:p>
            <w:pPr>
              <w:jc w:val="center"/>
            </w:pPr>
            <w:r>
              <w:rPr>
                <w:b/>
                <w:sz w:val="16"/>
              </w:rPr>
              <w:t>Normal</w:t>
            </w:r>
          </w:p>
        </w:tc>
      </w:tr>
      <w:tr>
        <w:tc>
          <w:tcPr>
            <w:tcW w:type="dxa" w:w="1680"/>
            <w:shd w:fill="F7FAFC"/>
          </w:tcPr>
          <w:p>
            <w:r>
              <w:rPr>
                <w:b/>
                <w:sz w:val="16"/>
              </w:rPr>
              <w:t>Working Capital Turnover Ratio</w:t>
            </w:r>
          </w:p>
        </w:tc>
        <w:tc>
          <w:tcPr>
            <w:tcW w:type="dxa" w:w="1680"/>
            <w:shd w:fill="F7FAFC"/>
          </w:tcPr>
          <w:p>
            <w:r>
              <w:rPr>
                <w:sz w:val="15"/>
              </w:rPr>
              <w:t>Revenue from Operations / Net Working Capital</w:t>
            </w:r>
          </w:p>
        </w:tc>
        <w:tc>
          <w:tcPr>
            <w:tcW w:type="dxa" w:w="1680"/>
            <w:shd w:fill="F7FAFC"/>
          </w:tcPr>
          <w:p>
            <w:pPr>
              <w:jc w:val="right"/>
            </w:pPr>
            <w:r>
              <w:rPr>
                <w:sz w:val="16"/>
              </w:rPr>
              <w:t>14.49 x</w:t>
            </w:r>
          </w:p>
        </w:tc>
        <w:tc>
          <w:tcPr>
            <w:tcW w:type="dxa" w:w="1680"/>
            <w:shd w:fill="F7FAFC"/>
          </w:tcPr>
          <w:p>
            <w:pPr>
              <w:jc w:val="right"/>
            </w:pPr>
            <w:r>
              <w:rPr>
                <w:sz w:val="16"/>
              </w:rPr>
              <w:t>14.88 x</w:t>
            </w:r>
          </w:p>
        </w:tc>
        <w:tc>
          <w:tcPr>
            <w:tcW w:type="dxa" w:w="1680"/>
            <w:shd w:fill="F7FAFC"/>
          </w:tcPr>
          <w:p>
            <w:r>
              <w:rPr>
                <w:sz w:val="15"/>
              </w:rPr>
              <w:t>Moderate (over-trading if excessively high)</w:t>
            </w:r>
          </w:p>
        </w:tc>
        <w:tc>
          <w:tcPr>
            <w:tcW w:type="dxa" w:w="1680"/>
          </w:tcPr>
          <w:p>
            <w:pPr>
              <w:jc w:val="center"/>
            </w:pPr>
            <w:r>
              <w:rPr>
                <w:b/>
                <w:sz w:val="16"/>
              </w:rPr>
              <w:t>Normal</w:t>
            </w:r>
          </w:p>
        </w:tc>
      </w:tr>
      <w:tr>
        <w:tc>
          <w:tcPr>
            <w:tcW w:type="dxa" w:w="1680"/>
            <w:shd w:fill="FFFFFF"/>
          </w:tcPr>
          <w:p>
            <w:r>
              <w:rPr>
                <w:b/>
                <w:sz w:val="16"/>
              </w:rPr>
              <w:t>Total Asset Turnover Ratio</w:t>
            </w:r>
          </w:p>
        </w:tc>
        <w:tc>
          <w:tcPr>
            <w:tcW w:type="dxa" w:w="1680"/>
            <w:shd w:fill="FFFFFF"/>
          </w:tcPr>
          <w:p>
            <w:r>
              <w:rPr>
                <w:sz w:val="15"/>
              </w:rPr>
              <w:t>Revenue from Operations / Total Assets</w:t>
            </w:r>
          </w:p>
        </w:tc>
        <w:tc>
          <w:tcPr>
            <w:tcW w:type="dxa" w:w="1680"/>
            <w:shd w:fill="FFFFFF"/>
          </w:tcPr>
          <w:p>
            <w:pPr>
              <w:jc w:val="right"/>
            </w:pPr>
            <w:r>
              <w:rPr>
                <w:sz w:val="16"/>
              </w:rPr>
              <w:t>1.75 x</w:t>
            </w:r>
          </w:p>
        </w:tc>
        <w:tc>
          <w:tcPr>
            <w:tcW w:type="dxa" w:w="1680"/>
            <w:shd w:fill="FFFFFF"/>
          </w:tcPr>
          <w:p>
            <w:pPr>
              <w:jc w:val="right"/>
            </w:pPr>
            <w:r>
              <w:rPr>
                <w:sz w:val="16"/>
              </w:rPr>
              <w:t>1.76 x</w:t>
            </w:r>
          </w:p>
        </w:tc>
        <w:tc>
          <w:tcPr>
            <w:tcW w:type="dxa" w:w="1680"/>
            <w:shd w:fill="FFFFFF"/>
          </w:tcPr>
          <w:p>
            <w:r>
              <w:rPr>
                <w:sz w:val="15"/>
              </w:rPr>
              <w:t>Higher is better (&gt; 1.0x - 1.5x)</w:t>
            </w:r>
          </w:p>
        </w:tc>
        <w:tc>
          <w:tcPr>
            <w:tcW w:type="dxa" w:w="1680"/>
          </w:tcPr>
          <w:p>
            <w:pPr>
              <w:jc w:val="center"/>
            </w:pPr>
            <w:r>
              <w:rPr>
                <w:b/>
                <w:sz w:val="16"/>
              </w:rPr>
              <w:t>Normal</w:t>
            </w:r>
          </w:p>
        </w:tc>
      </w:tr>
    </w:tbl>
    <w:p>
      <w:pPr>
        <w:spacing w:after="160"/>
      </w:pPr>
    </w:p>
    <w:p>
      <w:pPr>
        <w:pStyle w:val="Heading2"/>
      </w:pPr>
      <w:r>
        <w:rPr>
          <w:rFonts w:ascii="Segoe UI" w:hAnsi="Segoe UI"/>
          <w:color w:val="2B6CB0"/>
        </w:rPr>
        <w:t>Cash Flow &amp; Key Metrics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A365D"/>
          </w:tcPr>
          <w:p>
            <w:pPr>
              <w:jc w:val="left"/>
            </w:pPr>
            <w:r>
              <w:rPr>
                <w:rFonts w:ascii="Segoe UI" w:hAnsi="Segoe UI"/>
                <w:b/>
                <w:color w:val="FFFFFF"/>
                <w:sz w:val="17"/>
              </w:rPr>
              <w:t>Ratio Name</w:t>
            </w:r>
          </w:p>
        </w:tc>
        <w:tc>
          <w:tcPr>
            <w:tcW w:type="dxa" w:w="1680"/>
            <w:shd w:fill="1A365D"/>
          </w:tcPr>
          <w:p>
            <w:pPr>
              <w:jc w:val="left"/>
            </w:pPr>
            <w:r>
              <w:rPr>
                <w:rFonts w:ascii="Segoe UI" w:hAnsi="Segoe UI"/>
                <w:b/>
                <w:color w:val="FFFFFF"/>
                <w:sz w:val="17"/>
              </w:rPr>
              <w:t>Formula</w:t>
            </w:r>
          </w:p>
        </w:tc>
        <w:tc>
          <w:tcPr>
            <w:tcW w:type="dxa" w:w="1680"/>
            <w:shd w:fill="1A365D"/>
          </w:tcPr>
          <w:p>
            <w:pPr>
              <w:jc w:val="center"/>
            </w:pPr>
            <w:r>
              <w:rPr>
                <w:rFonts w:ascii="Segoe UI" w:hAnsi="Segoe UI"/>
                <w:b/>
                <w:color w:val="FFFFFF"/>
                <w:sz w:val="17"/>
              </w:rPr>
              <w:t>Current</w:t>
            </w:r>
          </w:p>
        </w:tc>
        <w:tc>
          <w:tcPr>
            <w:tcW w:type="dxa" w:w="1680"/>
            <w:shd w:fill="1A365D"/>
          </w:tcPr>
          <w:p>
            <w:pPr>
              <w:jc w:val="center"/>
            </w:pPr>
            <w:r>
              <w:rPr>
                <w:rFonts w:ascii="Segoe UI" w:hAnsi="Segoe UI"/>
                <w:b/>
                <w:color w:val="FFFFFF"/>
                <w:sz w:val="17"/>
              </w:rPr>
              <w:t>Previous</w:t>
            </w:r>
          </w:p>
        </w:tc>
        <w:tc>
          <w:tcPr>
            <w:tcW w:type="dxa" w:w="1680"/>
            <w:shd w:fill="1A365D"/>
          </w:tcPr>
          <w:p>
            <w:pPr>
              <w:jc w:val="center"/>
            </w:pPr>
            <w:r>
              <w:rPr>
                <w:rFonts w:ascii="Segoe UI" w:hAnsi="Segoe UI"/>
                <w:b/>
                <w:color w:val="FFFFFF"/>
                <w:sz w:val="17"/>
              </w:rPr>
              <w:t>Benchmark</w:t>
            </w:r>
          </w:p>
        </w:tc>
        <w:tc>
          <w:tcPr>
            <w:tcW w:type="dxa" w:w="1680"/>
            <w:shd w:fill="1A365D"/>
          </w:tcPr>
          <w:p>
            <w:pPr>
              <w:jc w:val="center"/>
            </w:pPr>
            <w:r>
              <w:rPr>
                <w:rFonts w:ascii="Segoe UI" w:hAnsi="Segoe UI"/>
                <w:b/>
                <w:color w:val="FFFFFF"/>
                <w:sz w:val="17"/>
              </w:rPr>
              <w:t>Status</w:t>
            </w:r>
          </w:p>
        </w:tc>
      </w:tr>
      <w:tr>
        <w:tc>
          <w:tcPr>
            <w:tcW w:type="dxa" w:w="1680"/>
            <w:shd w:fill="FFFFFF"/>
          </w:tcPr>
          <w:p>
            <w:r>
              <w:rPr>
                <w:b/>
                <w:sz w:val="16"/>
              </w:rPr>
              <w:t>Net Debt</w:t>
            </w:r>
          </w:p>
        </w:tc>
        <w:tc>
          <w:tcPr>
            <w:tcW w:type="dxa" w:w="1680"/>
            <w:shd w:fill="FFFFFF"/>
          </w:tcPr>
          <w:p>
            <w:r>
              <w:rPr>
                <w:sz w:val="15"/>
              </w:rPr>
              <w:t>Total Borrowings - Cash &amp; Marketable Investments</w:t>
            </w:r>
          </w:p>
        </w:tc>
        <w:tc>
          <w:tcPr>
            <w:tcW w:type="dxa" w:w="1680"/>
            <w:shd w:fill="FFFFFF"/>
          </w:tcPr>
          <w:p>
            <w:pPr>
              <w:jc w:val="right"/>
            </w:pPr>
            <w:r>
              <w:rPr>
                <w:sz w:val="16"/>
              </w:rPr>
              <w:t>1,710.00 ₹</w:t>
            </w:r>
          </w:p>
        </w:tc>
        <w:tc>
          <w:tcPr>
            <w:tcW w:type="dxa" w:w="1680"/>
            <w:shd w:fill="FFFFFF"/>
          </w:tcPr>
          <w:p>
            <w:pPr>
              <w:jc w:val="right"/>
            </w:pPr>
            <w:r>
              <w:rPr>
                <w:sz w:val="16"/>
              </w:rPr>
              <w:t>1,240.00 ₹</w:t>
            </w:r>
          </w:p>
        </w:tc>
        <w:tc>
          <w:tcPr>
            <w:tcW w:type="dxa" w:w="1680"/>
            <w:shd w:fill="FFFFFF"/>
          </w:tcPr>
          <w:p>
            <w:r>
              <w:rPr>
                <w:sz w:val="15"/>
              </w:rPr>
              <w:t>Lower / Negative (Net Cash) is stronger</w:t>
            </w:r>
          </w:p>
        </w:tc>
        <w:tc>
          <w:tcPr>
            <w:tcW w:type="dxa" w:w="1680"/>
          </w:tcPr>
          <w:p>
            <w:pPr>
              <w:jc w:val="center"/>
            </w:pPr>
            <w:r>
              <w:rPr>
                <w:b/>
                <w:sz w:val="16"/>
              </w:rPr>
              <w:t>Normal</w:t>
            </w:r>
          </w:p>
        </w:tc>
      </w:tr>
      <w:tr>
        <w:tc>
          <w:tcPr>
            <w:tcW w:type="dxa" w:w="1680"/>
            <w:shd w:fill="F7FAFC"/>
          </w:tcPr>
          <w:p>
            <w:r>
              <w:rPr>
                <w:b/>
                <w:sz w:val="16"/>
              </w:rPr>
              <w:t>Cash Conversion Cycle (CCC)</w:t>
            </w:r>
          </w:p>
        </w:tc>
        <w:tc>
          <w:tcPr>
            <w:tcW w:type="dxa" w:w="1680"/>
            <w:shd w:fill="F7FAFC"/>
          </w:tcPr>
          <w:p>
            <w:r>
              <w:rPr>
                <w:sz w:val="15"/>
              </w:rPr>
              <w:t>DSO (Debtor Days) + Inventory Holding Days - DPO (Creditor Days)</w:t>
            </w:r>
          </w:p>
        </w:tc>
        <w:tc>
          <w:tcPr>
            <w:tcW w:type="dxa" w:w="1680"/>
            <w:shd w:fill="F7FAFC"/>
          </w:tcPr>
          <w:p>
            <w:pPr>
              <w:jc w:val="right"/>
            </w:pPr>
            <w:r>
              <w:rPr>
                <w:sz w:val="16"/>
              </w:rPr>
              <w:t>N/A</w:t>
            </w:r>
          </w:p>
        </w:tc>
        <w:tc>
          <w:tcPr>
            <w:tcW w:type="dxa" w:w="1680"/>
            <w:shd w:fill="F7FAFC"/>
          </w:tcPr>
          <w:p>
            <w:pPr>
              <w:jc w:val="right"/>
            </w:pPr>
            <w:r>
              <w:rPr>
                <w:sz w:val="16"/>
              </w:rPr>
              <w:t>N/A</w:t>
            </w:r>
          </w:p>
        </w:tc>
        <w:tc>
          <w:tcPr>
            <w:tcW w:type="dxa" w:w="1680"/>
            <w:shd w:fill="F7FAFC"/>
          </w:tcPr>
          <w:p>
            <w:r>
              <w:rPr>
                <w:sz w:val="15"/>
              </w:rPr>
              <w:t>Shorter cycle releases working capital</w:t>
            </w:r>
          </w:p>
        </w:tc>
        <w:tc>
          <w:tcPr>
            <w:tcW w:type="dxa" w:w="1680"/>
          </w:tcPr>
          <w:p>
            <w:pPr>
              <w:jc w:val="center"/>
            </w:pPr>
            <w:r>
              <w:rPr>
                <w:b/>
                <w:sz w:val="16"/>
              </w:rPr>
              <w:t>N/A</w:t>
            </w:r>
          </w:p>
        </w:tc>
      </w:tr>
      <w:tr>
        <w:tc>
          <w:tcPr>
            <w:tcW w:type="dxa" w:w="1680"/>
            <w:shd w:fill="FFFFFF"/>
          </w:tcPr>
          <w:p>
            <w:r>
              <w:rPr>
                <w:b/>
                <w:sz w:val="16"/>
              </w:rPr>
              <w:t>Operating Cash Flow to Total Debt</w:t>
            </w:r>
          </w:p>
        </w:tc>
        <w:tc>
          <w:tcPr>
            <w:tcW w:type="dxa" w:w="1680"/>
            <w:shd w:fill="FFFFFF"/>
          </w:tcPr>
          <w:p>
            <w:r>
              <w:rPr>
                <w:sz w:val="15"/>
              </w:rPr>
              <w:t>Cash Flow from Operations / Total Debt</w:t>
            </w:r>
          </w:p>
        </w:tc>
        <w:tc>
          <w:tcPr>
            <w:tcW w:type="dxa" w:w="1680"/>
            <w:shd w:fill="FFFFFF"/>
          </w:tcPr>
          <w:p>
            <w:pPr>
              <w:jc w:val="right"/>
            </w:pPr>
            <w:r>
              <w:rPr>
                <w:sz w:val="16"/>
              </w:rPr>
              <w:t>0.53 x</w:t>
            </w:r>
          </w:p>
        </w:tc>
        <w:tc>
          <w:tcPr>
            <w:tcW w:type="dxa" w:w="1680"/>
            <w:shd w:fill="FFFFFF"/>
          </w:tcPr>
          <w:p>
            <w:pPr>
              <w:jc w:val="right"/>
            </w:pPr>
            <w:r>
              <w:rPr>
                <w:sz w:val="16"/>
              </w:rPr>
              <w:t>N/A</w:t>
            </w:r>
          </w:p>
        </w:tc>
        <w:tc>
          <w:tcPr>
            <w:tcW w:type="dxa" w:w="1680"/>
            <w:shd w:fill="FFFFFF"/>
          </w:tcPr>
          <w:p>
            <w:r>
              <w:rPr>
                <w:sz w:val="15"/>
              </w:rPr>
              <w:t>Healthy: &gt; 0.20x</w:t>
            </w:r>
          </w:p>
        </w:tc>
        <w:tc>
          <w:tcPr>
            <w:tcW w:type="dxa" w:w="1680"/>
          </w:tcPr>
          <w:p>
            <w:pPr>
              <w:jc w:val="center"/>
            </w:pPr>
            <w:r>
              <w:rPr>
                <w:b/>
                <w:sz w:val="16"/>
              </w:rPr>
              <w:t>Normal</w:t>
            </w:r>
          </w:p>
        </w:tc>
      </w:tr>
      <w:tr>
        <w:tc>
          <w:tcPr>
            <w:tcW w:type="dxa" w:w="1680"/>
            <w:shd w:fill="F7FAFC"/>
          </w:tcPr>
          <w:p>
            <w:r>
              <w:rPr>
                <w:b/>
                <w:sz w:val="16"/>
              </w:rPr>
              <w:t>Operating Cash Flow to Net Profit (Quality of Earnings)</w:t>
            </w:r>
          </w:p>
        </w:tc>
        <w:tc>
          <w:tcPr>
            <w:tcW w:type="dxa" w:w="1680"/>
            <w:shd w:fill="F7FAFC"/>
          </w:tcPr>
          <w:p>
            <w:r>
              <w:rPr>
                <w:sz w:val="15"/>
              </w:rPr>
              <w:t>Cash Flow from Operations / Profit After Tax</w:t>
            </w:r>
          </w:p>
        </w:tc>
        <w:tc>
          <w:tcPr>
            <w:tcW w:type="dxa" w:w="1680"/>
            <w:shd w:fill="F7FAFC"/>
          </w:tcPr>
          <w:p>
            <w:pPr>
              <w:jc w:val="right"/>
            </w:pPr>
            <w:r>
              <w:rPr>
                <w:sz w:val="16"/>
              </w:rPr>
              <w:t>1.05 x</w:t>
            </w:r>
          </w:p>
        </w:tc>
        <w:tc>
          <w:tcPr>
            <w:tcW w:type="dxa" w:w="1680"/>
            <w:shd w:fill="F7FAFC"/>
          </w:tcPr>
          <w:p>
            <w:pPr>
              <w:jc w:val="right"/>
            </w:pPr>
            <w:r>
              <w:rPr>
                <w:sz w:val="16"/>
              </w:rPr>
              <w:t>N/A</w:t>
            </w:r>
          </w:p>
        </w:tc>
        <w:tc>
          <w:tcPr>
            <w:tcW w:type="dxa" w:w="1680"/>
            <w:shd w:fill="F7FAFC"/>
          </w:tcPr>
          <w:p>
            <w:r>
              <w:rPr>
                <w:sz w:val="15"/>
              </w:rPr>
              <w:t>Ideal: &gt;= 1.00x</w:t>
            </w:r>
          </w:p>
        </w:tc>
        <w:tc>
          <w:tcPr>
            <w:tcW w:type="dxa" w:w="1680"/>
          </w:tcPr>
          <w:p>
            <w:pPr>
              <w:jc w:val="center"/>
            </w:pPr>
            <w:r>
              <w:rPr>
                <w:b/>
                <w:sz w:val="16"/>
              </w:rPr>
              <w:t>Normal</w:t>
            </w:r>
          </w:p>
        </w:tc>
      </w:tr>
    </w:tbl>
    <w:p>
      <w:pPr>
        <w:spacing w:after="160"/>
      </w:pPr>
    </w:p>
    <w:p>
      <w:pPr>
        <w:pStyle w:val="Heading1"/>
      </w:pPr>
      <w:r>
        <w:rPr>
          <w:rFonts w:ascii="Segoe UI" w:hAnsi="Segoe UI"/>
          <w:color w:val="1A365D"/>
        </w:rPr>
        <w:t>4. Horizontal &amp; Vertical Trend Analysis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2B6CB0"/>
          </w:tcPr>
          <w:p>
            <w:pPr>
              <w:jc w:val="left"/>
            </w:pPr>
            <w:r>
              <w:rPr>
                <w:rFonts w:ascii="Segoe UI" w:hAnsi="Segoe UI"/>
                <w:b/>
                <w:color w:val="FFFFFF"/>
                <w:sz w:val="17"/>
              </w:rPr>
              <w:t>Particulars</w:t>
            </w:r>
          </w:p>
        </w:tc>
        <w:tc>
          <w:tcPr>
            <w:tcW w:type="dxa" w:w="2016"/>
            <w:shd w:fill="2B6CB0"/>
          </w:tcPr>
          <w:p>
            <w:pPr>
              <w:jc w:val="right"/>
            </w:pPr>
            <w:r>
              <w:rPr>
                <w:rFonts w:ascii="Segoe UI" w:hAnsi="Segoe UI"/>
                <w:b/>
                <w:color w:val="FFFFFF"/>
                <w:sz w:val="17"/>
              </w:rPr>
              <w:t>Current Amount</w:t>
            </w:r>
          </w:p>
        </w:tc>
        <w:tc>
          <w:tcPr>
            <w:tcW w:type="dxa" w:w="2016"/>
            <w:shd w:fill="2B6CB0"/>
          </w:tcPr>
          <w:p>
            <w:pPr>
              <w:jc w:val="right"/>
            </w:pPr>
            <w:r>
              <w:rPr>
                <w:rFonts w:ascii="Segoe UI" w:hAnsi="Segoe UI"/>
                <w:b/>
                <w:color w:val="FFFFFF"/>
                <w:sz w:val="17"/>
              </w:rPr>
              <w:t>Prior Amount</w:t>
            </w:r>
          </w:p>
        </w:tc>
        <w:tc>
          <w:tcPr>
            <w:tcW w:type="dxa" w:w="2016"/>
            <w:shd w:fill="2B6CB0"/>
          </w:tcPr>
          <w:p>
            <w:pPr>
              <w:jc w:val="right"/>
            </w:pPr>
            <w:r>
              <w:rPr>
                <w:rFonts w:ascii="Segoe UI" w:hAnsi="Segoe UI"/>
                <w:b/>
                <w:color w:val="FFFFFF"/>
                <w:sz w:val="17"/>
              </w:rPr>
              <w:t>YoY % Change</w:t>
            </w:r>
          </w:p>
        </w:tc>
        <w:tc>
          <w:tcPr>
            <w:tcW w:type="dxa" w:w="2016"/>
            <w:shd w:fill="2B6CB0"/>
          </w:tcPr>
          <w:p>
            <w:pPr>
              <w:jc w:val="right"/>
            </w:pPr>
            <w:r>
              <w:rPr>
                <w:rFonts w:ascii="Segoe UI" w:hAnsi="Segoe UI"/>
                <w:b/>
                <w:color w:val="FFFFFF"/>
                <w:sz w:val="17"/>
              </w:rPr>
              <w:t>Direction</w:t>
            </w:r>
          </w:p>
        </w:tc>
      </w:tr>
      <w:tr>
        <w:tc>
          <w:tcPr>
            <w:tcW w:type="dxa" w:w="2016"/>
            <w:shd w:fill="FFFFFF"/>
          </w:tcPr>
          <w:p>
            <w:r>
              <w:rPr>
                <w:sz w:val="16"/>
              </w:rPr>
              <w:t>Revenue from Operations (Gross Sales)</w:t>
            </w:r>
          </w:p>
        </w:tc>
        <w:tc>
          <w:tcPr>
            <w:tcW w:type="dxa" w:w="2016"/>
            <w:shd w:fill="FFFFFF"/>
          </w:tcPr>
          <w:p>
            <w:pPr>
              <w:jc w:val="right"/>
            </w:pPr>
            <w:r>
              <w:rPr>
                <w:sz w:val="16"/>
              </w:rPr>
              <w:t>14,500.00</w:t>
            </w:r>
          </w:p>
        </w:tc>
        <w:tc>
          <w:tcPr>
            <w:tcW w:type="dxa" w:w="2016"/>
            <w:shd w:fill="FFFFFF"/>
          </w:tcPr>
          <w:p>
            <w:pPr>
              <w:jc w:val="right"/>
            </w:pPr>
            <w:r>
              <w:rPr>
                <w:sz w:val="16"/>
              </w:rPr>
              <w:t>12,200.00</w:t>
            </w:r>
          </w:p>
        </w:tc>
        <w:tc>
          <w:tcPr>
            <w:tcW w:type="dxa" w:w="2016"/>
            <w:shd w:fill="FFFFFF"/>
          </w:tcPr>
          <w:p>
            <w:pPr>
              <w:jc w:val="right"/>
            </w:pPr>
            <w:r>
              <w:rPr>
                <w:sz w:val="16"/>
              </w:rPr>
              <w:t>+18.9%</w:t>
            </w:r>
          </w:p>
        </w:tc>
        <w:tc>
          <w:tcPr>
            <w:tcW w:type="dxa" w:w="2016"/>
            <w:shd w:fill="FFFFFF"/>
          </w:tcPr>
          <w:p>
            <w:pPr>
              <w:jc w:val="center"/>
            </w:pPr>
            <w:r>
              <w:rPr>
                <w:sz w:val="16"/>
              </w:rPr>
              <w:t>Increase</w:t>
            </w:r>
          </w:p>
        </w:tc>
      </w:tr>
      <w:tr>
        <w:tc>
          <w:tcPr>
            <w:tcW w:type="dxa" w:w="2016"/>
            <w:shd w:fill="F7FAFC"/>
          </w:tcPr>
          <w:p>
            <w:r>
              <w:rPr>
                <w:sz w:val="16"/>
              </w:rPr>
              <w:t>Other Income</w:t>
            </w:r>
          </w:p>
        </w:tc>
        <w:tc>
          <w:tcPr>
            <w:tcW w:type="dxa" w:w="2016"/>
            <w:shd w:fill="F7FAFC"/>
          </w:tcPr>
          <w:p>
            <w:pPr>
              <w:jc w:val="right"/>
            </w:pPr>
            <w:r>
              <w:rPr>
                <w:sz w:val="16"/>
              </w:rPr>
              <w:t>180.00</w:t>
            </w:r>
          </w:p>
        </w:tc>
        <w:tc>
          <w:tcPr>
            <w:tcW w:type="dxa" w:w="2016"/>
            <w:shd w:fill="F7FAFC"/>
          </w:tcPr>
          <w:p>
            <w:pPr>
              <w:jc w:val="right"/>
            </w:pPr>
            <w:r>
              <w:rPr>
                <w:sz w:val="16"/>
              </w:rPr>
              <w:t>140.00</w:t>
            </w:r>
          </w:p>
        </w:tc>
        <w:tc>
          <w:tcPr>
            <w:tcW w:type="dxa" w:w="2016"/>
            <w:shd w:fill="F7FAFC"/>
          </w:tcPr>
          <w:p>
            <w:pPr>
              <w:jc w:val="right"/>
            </w:pPr>
            <w:r>
              <w:rPr>
                <w:sz w:val="16"/>
              </w:rPr>
              <w:t>+28.6%</w:t>
            </w:r>
          </w:p>
        </w:tc>
        <w:tc>
          <w:tcPr>
            <w:tcW w:type="dxa" w:w="2016"/>
            <w:shd w:fill="F7FAFC"/>
          </w:tcPr>
          <w:p>
            <w:pPr>
              <w:jc w:val="center"/>
            </w:pPr>
            <w:r>
              <w:rPr>
                <w:sz w:val="16"/>
              </w:rPr>
              <w:t>Increase</w:t>
            </w:r>
          </w:p>
        </w:tc>
      </w:tr>
      <w:tr>
        <w:tc>
          <w:tcPr>
            <w:tcW w:type="dxa" w:w="2016"/>
            <w:shd w:fill="FFFFFF"/>
          </w:tcPr>
          <w:p>
            <w:r>
              <w:rPr>
                <w:sz w:val="16"/>
              </w:rPr>
              <w:t>TOTAL INCOME</w:t>
            </w:r>
          </w:p>
        </w:tc>
        <w:tc>
          <w:tcPr>
            <w:tcW w:type="dxa" w:w="2016"/>
            <w:shd w:fill="FFFFFF"/>
          </w:tcPr>
          <w:p>
            <w:pPr>
              <w:jc w:val="right"/>
            </w:pPr>
            <w:r>
              <w:rPr>
                <w:sz w:val="16"/>
              </w:rPr>
              <w:t>14,680.00</w:t>
            </w:r>
          </w:p>
        </w:tc>
        <w:tc>
          <w:tcPr>
            <w:tcW w:type="dxa" w:w="2016"/>
            <w:shd w:fill="FFFFFF"/>
          </w:tcPr>
          <w:p>
            <w:pPr>
              <w:jc w:val="right"/>
            </w:pPr>
            <w:r>
              <w:rPr>
                <w:sz w:val="16"/>
              </w:rPr>
              <w:t>12,340.00</w:t>
            </w:r>
          </w:p>
        </w:tc>
        <w:tc>
          <w:tcPr>
            <w:tcW w:type="dxa" w:w="2016"/>
            <w:shd w:fill="FFFFFF"/>
          </w:tcPr>
          <w:p>
            <w:pPr>
              <w:jc w:val="right"/>
            </w:pPr>
            <w:r>
              <w:rPr>
                <w:sz w:val="16"/>
              </w:rPr>
              <w:t>+19.0%</w:t>
            </w:r>
          </w:p>
        </w:tc>
        <w:tc>
          <w:tcPr>
            <w:tcW w:type="dxa" w:w="2016"/>
            <w:shd w:fill="FFFFFF"/>
          </w:tcPr>
          <w:p>
            <w:pPr>
              <w:jc w:val="center"/>
            </w:pPr>
            <w:r>
              <w:rPr>
                <w:sz w:val="16"/>
              </w:rPr>
              <w:t>Increase</w:t>
            </w:r>
          </w:p>
        </w:tc>
      </w:tr>
      <w:tr>
        <w:tc>
          <w:tcPr>
            <w:tcW w:type="dxa" w:w="2016"/>
            <w:shd w:fill="F7FAFC"/>
          </w:tcPr>
          <w:p>
            <w:r>
              <w:rPr>
                <w:sz w:val="16"/>
              </w:rPr>
              <w:t>Cost of Materials Consumed</w:t>
            </w:r>
          </w:p>
        </w:tc>
        <w:tc>
          <w:tcPr>
            <w:tcW w:type="dxa" w:w="2016"/>
            <w:shd w:fill="F7FAFC"/>
          </w:tcPr>
          <w:p>
            <w:pPr>
              <w:jc w:val="right"/>
            </w:pPr>
            <w:r>
              <w:rPr>
                <w:sz w:val="16"/>
              </w:rPr>
              <w:t>8,200.00</w:t>
            </w:r>
          </w:p>
        </w:tc>
        <w:tc>
          <w:tcPr>
            <w:tcW w:type="dxa" w:w="2016"/>
            <w:shd w:fill="F7FAFC"/>
          </w:tcPr>
          <w:p>
            <w:pPr>
              <w:jc w:val="right"/>
            </w:pPr>
            <w:r>
              <w:rPr>
                <w:sz w:val="16"/>
              </w:rPr>
              <w:t>6,900.00</w:t>
            </w:r>
          </w:p>
        </w:tc>
        <w:tc>
          <w:tcPr>
            <w:tcW w:type="dxa" w:w="2016"/>
            <w:shd w:fill="F7FAFC"/>
          </w:tcPr>
          <w:p>
            <w:pPr>
              <w:jc w:val="right"/>
            </w:pPr>
            <w:r>
              <w:rPr>
                <w:sz w:val="16"/>
              </w:rPr>
              <w:t>+18.8%</w:t>
            </w:r>
          </w:p>
        </w:tc>
        <w:tc>
          <w:tcPr>
            <w:tcW w:type="dxa" w:w="2016"/>
            <w:shd w:fill="F7FAFC"/>
          </w:tcPr>
          <w:p>
            <w:pPr>
              <w:jc w:val="center"/>
            </w:pPr>
            <w:r>
              <w:rPr>
                <w:sz w:val="16"/>
              </w:rPr>
              <w:t>Increase</w:t>
            </w:r>
          </w:p>
        </w:tc>
      </w:tr>
      <w:tr>
        <w:tc>
          <w:tcPr>
            <w:tcW w:type="dxa" w:w="2016"/>
            <w:shd w:fill="FFFFFF"/>
          </w:tcPr>
          <w:p>
            <w:r>
              <w:rPr>
                <w:sz w:val="16"/>
              </w:rPr>
              <w:t>Changes in Inventories of FG &amp; WIP</w:t>
            </w:r>
          </w:p>
        </w:tc>
        <w:tc>
          <w:tcPr>
            <w:tcW w:type="dxa" w:w="2016"/>
            <w:shd w:fill="FFFFFF"/>
          </w:tcPr>
          <w:p>
            <w:pPr>
              <w:jc w:val="right"/>
            </w:pPr>
            <w:r>
              <w:rPr>
                <w:sz w:val="16"/>
              </w:rPr>
              <w:t>-250.00</w:t>
            </w:r>
          </w:p>
        </w:tc>
        <w:tc>
          <w:tcPr>
            <w:tcW w:type="dxa" w:w="2016"/>
            <w:shd w:fill="FFFFFF"/>
          </w:tcPr>
          <w:p>
            <w:pPr>
              <w:jc w:val="right"/>
            </w:pPr>
            <w:r>
              <w:rPr>
                <w:sz w:val="16"/>
              </w:rPr>
              <w:t>-180.00</w:t>
            </w:r>
          </w:p>
        </w:tc>
        <w:tc>
          <w:tcPr>
            <w:tcW w:type="dxa" w:w="2016"/>
            <w:shd w:fill="FFFFFF"/>
          </w:tcPr>
          <w:p>
            <w:pPr>
              <w:jc w:val="right"/>
            </w:pPr>
            <w:r>
              <w:rPr>
                <w:sz w:val="16"/>
              </w:rPr>
              <w:t>-38.9%</w:t>
            </w:r>
          </w:p>
        </w:tc>
        <w:tc>
          <w:tcPr>
            <w:tcW w:type="dxa" w:w="2016"/>
            <w:shd w:fill="FFFFFF"/>
          </w:tcPr>
          <w:p>
            <w:pPr>
              <w:jc w:val="center"/>
            </w:pPr>
            <w:r>
              <w:rPr>
                <w:sz w:val="16"/>
              </w:rPr>
              <w:t>Decrease</w:t>
            </w:r>
          </w:p>
        </w:tc>
      </w:tr>
      <w:tr>
        <w:tc>
          <w:tcPr>
            <w:tcW w:type="dxa" w:w="2016"/>
            <w:shd w:fill="F7FAFC"/>
          </w:tcPr>
          <w:p>
            <w:r>
              <w:rPr>
                <w:sz w:val="16"/>
              </w:rPr>
              <w:t>Employee Benefits Expense</w:t>
            </w:r>
          </w:p>
        </w:tc>
        <w:tc>
          <w:tcPr>
            <w:tcW w:type="dxa" w:w="2016"/>
            <w:shd w:fill="F7FAFC"/>
          </w:tcPr>
          <w:p>
            <w:pPr>
              <w:jc w:val="right"/>
            </w:pPr>
            <w:r>
              <w:rPr>
                <w:sz w:val="16"/>
              </w:rPr>
              <w:t>1,850.00</w:t>
            </w:r>
          </w:p>
        </w:tc>
        <w:tc>
          <w:tcPr>
            <w:tcW w:type="dxa" w:w="2016"/>
            <w:shd w:fill="F7FAFC"/>
          </w:tcPr>
          <w:p>
            <w:pPr>
              <w:jc w:val="right"/>
            </w:pPr>
            <w:r>
              <w:rPr>
                <w:sz w:val="16"/>
              </w:rPr>
              <w:t>1,550.00</w:t>
            </w:r>
          </w:p>
        </w:tc>
        <w:tc>
          <w:tcPr>
            <w:tcW w:type="dxa" w:w="2016"/>
            <w:shd w:fill="F7FAFC"/>
          </w:tcPr>
          <w:p>
            <w:pPr>
              <w:jc w:val="right"/>
            </w:pPr>
            <w:r>
              <w:rPr>
                <w:sz w:val="16"/>
              </w:rPr>
              <w:t>+19.4%</w:t>
            </w:r>
          </w:p>
        </w:tc>
        <w:tc>
          <w:tcPr>
            <w:tcW w:type="dxa" w:w="2016"/>
            <w:shd w:fill="F7FAFC"/>
          </w:tcPr>
          <w:p>
            <w:pPr>
              <w:jc w:val="center"/>
            </w:pPr>
            <w:r>
              <w:rPr>
                <w:sz w:val="16"/>
              </w:rPr>
              <w:t>Increase</w:t>
            </w:r>
          </w:p>
        </w:tc>
      </w:tr>
      <w:tr>
        <w:tc>
          <w:tcPr>
            <w:tcW w:type="dxa" w:w="2016"/>
            <w:shd w:fill="FFFFFF"/>
          </w:tcPr>
          <w:p>
            <w:r>
              <w:rPr>
                <w:sz w:val="16"/>
              </w:rPr>
              <w:t>Finance Costs (Interest Expense)</w:t>
            </w:r>
          </w:p>
        </w:tc>
        <w:tc>
          <w:tcPr>
            <w:tcW w:type="dxa" w:w="2016"/>
            <w:shd w:fill="FFFFFF"/>
          </w:tcPr>
          <w:p>
            <w:pPr>
              <w:jc w:val="right"/>
            </w:pPr>
            <w:r>
              <w:rPr>
                <w:sz w:val="16"/>
              </w:rPr>
              <w:t>420.00</w:t>
            </w:r>
          </w:p>
        </w:tc>
        <w:tc>
          <w:tcPr>
            <w:tcW w:type="dxa" w:w="2016"/>
            <w:shd w:fill="FFFFFF"/>
          </w:tcPr>
          <w:p>
            <w:pPr>
              <w:jc w:val="right"/>
            </w:pPr>
            <w:r>
              <w:rPr>
                <w:sz w:val="16"/>
              </w:rPr>
              <w:t>280.00</w:t>
            </w:r>
          </w:p>
        </w:tc>
        <w:tc>
          <w:tcPr>
            <w:tcW w:type="dxa" w:w="2016"/>
            <w:shd w:fill="FFFFFF"/>
          </w:tcPr>
          <w:p>
            <w:pPr>
              <w:jc w:val="right"/>
            </w:pPr>
            <w:r>
              <w:rPr>
                <w:sz w:val="16"/>
              </w:rPr>
              <w:t>+50.0%</w:t>
            </w:r>
          </w:p>
        </w:tc>
        <w:tc>
          <w:tcPr>
            <w:tcW w:type="dxa" w:w="2016"/>
            <w:shd w:fill="FFFFFF"/>
          </w:tcPr>
          <w:p>
            <w:pPr>
              <w:jc w:val="center"/>
            </w:pPr>
            <w:r>
              <w:rPr>
                <w:sz w:val="16"/>
              </w:rPr>
              <w:t>Increase</w:t>
            </w:r>
          </w:p>
        </w:tc>
      </w:tr>
      <w:tr>
        <w:tc>
          <w:tcPr>
            <w:tcW w:type="dxa" w:w="2016"/>
            <w:shd w:fill="F7FAFC"/>
          </w:tcPr>
          <w:p>
            <w:r>
              <w:rPr>
                <w:sz w:val="16"/>
              </w:rPr>
              <w:t>Depreciation and Amortisation Expense</w:t>
            </w:r>
          </w:p>
        </w:tc>
        <w:tc>
          <w:tcPr>
            <w:tcW w:type="dxa" w:w="2016"/>
            <w:shd w:fill="F7FAFC"/>
          </w:tcPr>
          <w:p>
            <w:pPr>
              <w:jc w:val="right"/>
            </w:pPr>
            <w:r>
              <w:rPr>
                <w:sz w:val="16"/>
              </w:rPr>
              <w:t>480.00</w:t>
            </w:r>
          </w:p>
        </w:tc>
        <w:tc>
          <w:tcPr>
            <w:tcW w:type="dxa" w:w="2016"/>
            <w:shd w:fill="F7FAFC"/>
          </w:tcPr>
          <w:p>
            <w:pPr>
              <w:jc w:val="right"/>
            </w:pPr>
            <w:r>
              <w:rPr>
                <w:sz w:val="16"/>
              </w:rPr>
              <w:t>420.00</w:t>
            </w:r>
          </w:p>
        </w:tc>
        <w:tc>
          <w:tcPr>
            <w:tcW w:type="dxa" w:w="2016"/>
            <w:shd w:fill="F7FAFC"/>
          </w:tcPr>
          <w:p>
            <w:pPr>
              <w:jc w:val="right"/>
            </w:pPr>
            <w:r>
              <w:rPr>
                <w:sz w:val="16"/>
              </w:rPr>
              <w:t>+14.3%</w:t>
            </w:r>
          </w:p>
        </w:tc>
        <w:tc>
          <w:tcPr>
            <w:tcW w:type="dxa" w:w="2016"/>
            <w:shd w:fill="F7FAFC"/>
          </w:tcPr>
          <w:p>
            <w:pPr>
              <w:jc w:val="center"/>
            </w:pPr>
            <w:r>
              <w:rPr>
                <w:sz w:val="16"/>
              </w:rPr>
              <w:t>Increase</w:t>
            </w:r>
          </w:p>
        </w:tc>
      </w:tr>
      <w:tr>
        <w:tc>
          <w:tcPr>
            <w:tcW w:type="dxa" w:w="2016"/>
            <w:shd w:fill="FFFFFF"/>
          </w:tcPr>
          <w:p>
            <w:r>
              <w:rPr>
                <w:sz w:val="16"/>
              </w:rPr>
              <w:t>Power and Fuel Expenses</w:t>
            </w:r>
          </w:p>
        </w:tc>
        <w:tc>
          <w:tcPr>
            <w:tcW w:type="dxa" w:w="2016"/>
            <w:shd w:fill="FFFFFF"/>
          </w:tcPr>
          <w:p>
            <w:pPr>
              <w:jc w:val="right"/>
            </w:pPr>
            <w:r>
              <w:rPr>
                <w:sz w:val="16"/>
              </w:rPr>
              <w:t>640.00</w:t>
            </w:r>
          </w:p>
        </w:tc>
        <w:tc>
          <w:tcPr>
            <w:tcW w:type="dxa" w:w="2016"/>
            <w:shd w:fill="FFFFFF"/>
          </w:tcPr>
          <w:p>
            <w:pPr>
              <w:jc w:val="right"/>
            </w:pPr>
            <w:r>
              <w:rPr>
                <w:sz w:val="16"/>
              </w:rPr>
              <w:t>520.00</w:t>
            </w:r>
          </w:p>
        </w:tc>
        <w:tc>
          <w:tcPr>
            <w:tcW w:type="dxa" w:w="2016"/>
            <w:shd w:fill="FFFFFF"/>
          </w:tcPr>
          <w:p>
            <w:pPr>
              <w:jc w:val="right"/>
            </w:pPr>
            <w:r>
              <w:rPr>
                <w:sz w:val="16"/>
              </w:rPr>
              <w:t>+23.1%</w:t>
            </w:r>
          </w:p>
        </w:tc>
        <w:tc>
          <w:tcPr>
            <w:tcW w:type="dxa" w:w="2016"/>
            <w:shd w:fill="FFFFFF"/>
          </w:tcPr>
          <w:p>
            <w:pPr>
              <w:jc w:val="center"/>
            </w:pPr>
            <w:r>
              <w:rPr>
                <w:sz w:val="16"/>
              </w:rPr>
              <w:t>Increase</w:t>
            </w:r>
          </w:p>
        </w:tc>
      </w:tr>
      <w:tr>
        <w:tc>
          <w:tcPr>
            <w:tcW w:type="dxa" w:w="2016"/>
            <w:shd w:fill="F7FAFC"/>
          </w:tcPr>
          <w:p>
            <w:r>
              <w:rPr>
                <w:sz w:val="16"/>
              </w:rPr>
              <w:t>Freight &amp; Transportation Outward</w:t>
            </w:r>
          </w:p>
        </w:tc>
        <w:tc>
          <w:tcPr>
            <w:tcW w:type="dxa" w:w="2016"/>
            <w:shd w:fill="F7FAFC"/>
          </w:tcPr>
          <w:p>
            <w:pPr>
              <w:jc w:val="right"/>
            </w:pPr>
            <w:r>
              <w:rPr>
                <w:sz w:val="16"/>
              </w:rPr>
              <w:t>390.00</w:t>
            </w:r>
          </w:p>
        </w:tc>
        <w:tc>
          <w:tcPr>
            <w:tcW w:type="dxa" w:w="2016"/>
            <w:shd w:fill="F7FAFC"/>
          </w:tcPr>
          <w:p>
            <w:pPr>
              <w:jc w:val="right"/>
            </w:pPr>
            <w:r>
              <w:rPr>
                <w:sz w:val="16"/>
              </w:rPr>
              <w:t>310.00</w:t>
            </w:r>
          </w:p>
        </w:tc>
        <w:tc>
          <w:tcPr>
            <w:tcW w:type="dxa" w:w="2016"/>
            <w:shd w:fill="F7FAFC"/>
          </w:tcPr>
          <w:p>
            <w:pPr>
              <w:jc w:val="right"/>
            </w:pPr>
            <w:r>
              <w:rPr>
                <w:sz w:val="16"/>
              </w:rPr>
              <w:t>+25.8%</w:t>
            </w:r>
          </w:p>
        </w:tc>
        <w:tc>
          <w:tcPr>
            <w:tcW w:type="dxa" w:w="2016"/>
            <w:shd w:fill="F7FAFC"/>
          </w:tcPr>
          <w:p>
            <w:pPr>
              <w:jc w:val="center"/>
            </w:pPr>
            <w:r>
              <w:rPr>
                <w:sz w:val="16"/>
              </w:rPr>
              <w:t>Increase</w:t>
            </w:r>
          </w:p>
        </w:tc>
      </w:tr>
      <w:tr>
        <w:tc>
          <w:tcPr>
            <w:tcW w:type="dxa" w:w="2016"/>
            <w:shd w:fill="FFFFFF"/>
          </w:tcPr>
          <w:p>
            <w:r>
              <w:rPr>
                <w:sz w:val="16"/>
              </w:rPr>
              <w:t>Share Capital</w:t>
            </w:r>
          </w:p>
        </w:tc>
        <w:tc>
          <w:tcPr>
            <w:tcW w:type="dxa" w:w="2016"/>
            <w:shd w:fill="FFFFFF"/>
          </w:tcPr>
          <w:p>
            <w:pPr>
              <w:jc w:val="right"/>
            </w:pPr>
            <w:r>
              <w:rPr>
                <w:sz w:val="16"/>
              </w:rPr>
              <w:t>1,250.00</w:t>
            </w:r>
          </w:p>
        </w:tc>
        <w:tc>
          <w:tcPr>
            <w:tcW w:type="dxa" w:w="2016"/>
            <w:shd w:fill="FFFFFF"/>
          </w:tcPr>
          <w:p>
            <w:pPr>
              <w:jc w:val="right"/>
            </w:pPr>
            <w:r>
              <w:rPr>
                <w:sz w:val="16"/>
              </w:rPr>
              <w:t>1,250.00</w:t>
            </w:r>
          </w:p>
        </w:tc>
        <w:tc>
          <w:tcPr>
            <w:tcW w:type="dxa" w:w="2016"/>
            <w:shd w:fill="FFFFFF"/>
          </w:tcPr>
          <w:p>
            <w:pPr>
              <w:jc w:val="right"/>
            </w:pPr>
            <w:r>
              <w:rPr>
                <w:sz w:val="16"/>
              </w:rPr>
              <w:t>+0.0%</w:t>
            </w:r>
          </w:p>
        </w:tc>
        <w:tc>
          <w:tcPr>
            <w:tcW w:type="dxa" w:w="2016"/>
            <w:shd w:fill="FFFFFF"/>
          </w:tcPr>
          <w:p>
            <w:pPr>
              <w:jc w:val="center"/>
            </w:pPr>
            <w:r>
              <w:rPr>
                <w:sz w:val="16"/>
              </w:rPr>
              <w:t>No Change</w:t>
            </w:r>
          </w:p>
        </w:tc>
      </w:tr>
      <w:tr>
        <w:tc>
          <w:tcPr>
            <w:tcW w:type="dxa" w:w="2016"/>
            <w:shd w:fill="F7FAFC"/>
          </w:tcPr>
          <w:p>
            <w:r>
              <w:rPr>
                <w:sz w:val="16"/>
              </w:rPr>
              <w:t>Reserves and Surplus</w:t>
            </w:r>
          </w:p>
        </w:tc>
        <w:tc>
          <w:tcPr>
            <w:tcW w:type="dxa" w:w="2016"/>
            <w:shd w:fill="F7FAFC"/>
          </w:tcPr>
          <w:p>
            <w:pPr>
              <w:jc w:val="right"/>
            </w:pPr>
            <w:r>
              <w:rPr>
                <w:sz w:val="16"/>
              </w:rPr>
              <w:t>4,850.50</w:t>
            </w:r>
          </w:p>
        </w:tc>
        <w:tc>
          <w:tcPr>
            <w:tcW w:type="dxa" w:w="2016"/>
            <w:shd w:fill="F7FAFC"/>
          </w:tcPr>
          <w:p>
            <w:pPr>
              <w:jc w:val="right"/>
            </w:pPr>
            <w:r>
              <w:rPr>
                <w:sz w:val="16"/>
              </w:rPr>
              <w:t>4,210.00</w:t>
            </w:r>
          </w:p>
        </w:tc>
        <w:tc>
          <w:tcPr>
            <w:tcW w:type="dxa" w:w="2016"/>
            <w:shd w:fill="F7FAFC"/>
          </w:tcPr>
          <w:p>
            <w:pPr>
              <w:jc w:val="right"/>
            </w:pPr>
            <w:r>
              <w:rPr>
                <w:sz w:val="16"/>
              </w:rPr>
              <w:t>+15.2%</w:t>
            </w:r>
          </w:p>
        </w:tc>
        <w:tc>
          <w:tcPr>
            <w:tcW w:type="dxa" w:w="2016"/>
            <w:shd w:fill="F7FAFC"/>
          </w:tcPr>
          <w:p>
            <w:pPr>
              <w:jc w:val="center"/>
            </w:pPr>
            <w:r>
              <w:rPr>
                <w:sz w:val="16"/>
              </w:rPr>
              <w:t>Increase</w:t>
            </w:r>
          </w:p>
        </w:tc>
      </w:tr>
      <w:tr>
        <w:tc>
          <w:tcPr>
            <w:tcW w:type="dxa" w:w="2016"/>
            <w:shd w:fill="FFFFFF"/>
          </w:tcPr>
          <w:p>
            <w:r>
              <w:rPr>
                <w:sz w:val="16"/>
              </w:rPr>
              <w:t>Long-Term Borrowings (Term Loans)</w:t>
            </w:r>
          </w:p>
        </w:tc>
        <w:tc>
          <w:tcPr>
            <w:tcW w:type="dxa" w:w="2016"/>
            <w:shd w:fill="FFFFFF"/>
          </w:tcPr>
          <w:p>
            <w:pPr>
              <w:jc w:val="right"/>
            </w:pPr>
            <w:r>
              <w:rPr>
                <w:sz w:val="16"/>
              </w:rPr>
              <w:t>2,100.00</w:t>
            </w:r>
          </w:p>
        </w:tc>
        <w:tc>
          <w:tcPr>
            <w:tcW w:type="dxa" w:w="2016"/>
            <w:shd w:fill="FFFFFF"/>
          </w:tcPr>
          <w:p>
            <w:pPr>
              <w:jc w:val="right"/>
            </w:pPr>
            <w:r>
              <w:rPr>
                <w:sz w:val="16"/>
              </w:rPr>
              <w:t>1,650.00</w:t>
            </w:r>
          </w:p>
        </w:tc>
        <w:tc>
          <w:tcPr>
            <w:tcW w:type="dxa" w:w="2016"/>
            <w:shd w:fill="FFFFFF"/>
          </w:tcPr>
          <w:p>
            <w:pPr>
              <w:jc w:val="right"/>
            </w:pPr>
            <w:r>
              <w:rPr>
                <w:sz w:val="16"/>
              </w:rPr>
              <w:t>+27.3%</w:t>
            </w:r>
          </w:p>
        </w:tc>
        <w:tc>
          <w:tcPr>
            <w:tcW w:type="dxa" w:w="2016"/>
            <w:shd w:fill="FFFFFF"/>
          </w:tcPr>
          <w:p>
            <w:pPr>
              <w:jc w:val="center"/>
            </w:pPr>
            <w:r>
              <w:rPr>
                <w:sz w:val="16"/>
              </w:rPr>
              <w:t>Increase</w:t>
            </w:r>
          </w:p>
        </w:tc>
      </w:tr>
      <w:tr>
        <w:tc>
          <w:tcPr>
            <w:tcW w:type="dxa" w:w="2016"/>
            <w:shd w:fill="F7FAFC"/>
          </w:tcPr>
          <w:p>
            <w:r>
              <w:rPr>
                <w:sz w:val="16"/>
              </w:rPr>
              <w:t>Deferred Tax Liabilities (Net)</w:t>
            </w:r>
          </w:p>
        </w:tc>
        <w:tc>
          <w:tcPr>
            <w:tcW w:type="dxa" w:w="2016"/>
            <w:shd w:fill="F7FAFC"/>
          </w:tcPr>
          <w:p>
            <w:pPr>
              <w:jc w:val="right"/>
            </w:pPr>
            <w:r>
              <w:rPr>
                <w:sz w:val="16"/>
              </w:rPr>
              <w:t>320.00</w:t>
            </w:r>
          </w:p>
        </w:tc>
        <w:tc>
          <w:tcPr>
            <w:tcW w:type="dxa" w:w="2016"/>
            <w:shd w:fill="F7FAFC"/>
          </w:tcPr>
          <w:p>
            <w:pPr>
              <w:jc w:val="right"/>
            </w:pPr>
            <w:r>
              <w:rPr>
                <w:sz w:val="16"/>
              </w:rPr>
              <w:t>290.00</w:t>
            </w:r>
          </w:p>
        </w:tc>
        <w:tc>
          <w:tcPr>
            <w:tcW w:type="dxa" w:w="2016"/>
            <w:shd w:fill="F7FAFC"/>
          </w:tcPr>
          <w:p>
            <w:pPr>
              <w:jc w:val="right"/>
            </w:pPr>
            <w:r>
              <w:rPr>
                <w:sz w:val="16"/>
              </w:rPr>
              <w:t>+10.3%</w:t>
            </w:r>
          </w:p>
        </w:tc>
        <w:tc>
          <w:tcPr>
            <w:tcW w:type="dxa" w:w="2016"/>
            <w:shd w:fill="F7FAFC"/>
          </w:tcPr>
          <w:p>
            <w:pPr>
              <w:jc w:val="center"/>
            </w:pPr>
            <w:r>
              <w:rPr>
                <w:sz w:val="16"/>
              </w:rPr>
              <w:t>Increase</w:t>
            </w:r>
          </w:p>
        </w:tc>
      </w:tr>
      <w:tr>
        <w:tc>
          <w:tcPr>
            <w:tcW w:type="dxa" w:w="2016"/>
            <w:shd w:fill="FFFFFF"/>
          </w:tcPr>
          <w:p>
            <w:r>
              <w:rPr>
                <w:sz w:val="16"/>
              </w:rPr>
              <w:t>Short-Term Borrowings (Cash Credit Limits)</w:t>
            </w:r>
          </w:p>
        </w:tc>
        <w:tc>
          <w:tcPr>
            <w:tcW w:type="dxa" w:w="2016"/>
            <w:shd w:fill="FFFFFF"/>
          </w:tcPr>
          <w:p>
            <w:pPr>
              <w:jc w:val="right"/>
            </w:pPr>
            <w:r>
              <w:rPr>
                <w:sz w:val="16"/>
              </w:rPr>
              <w:t>1,850.00</w:t>
            </w:r>
          </w:p>
        </w:tc>
        <w:tc>
          <w:tcPr>
            <w:tcW w:type="dxa" w:w="2016"/>
            <w:shd w:fill="FFFFFF"/>
          </w:tcPr>
          <w:p>
            <w:pPr>
              <w:jc w:val="right"/>
            </w:pPr>
            <w:r>
              <w:rPr>
                <w:sz w:val="16"/>
              </w:rPr>
              <w:t>1,200.00</w:t>
            </w:r>
          </w:p>
        </w:tc>
        <w:tc>
          <w:tcPr>
            <w:tcW w:type="dxa" w:w="2016"/>
            <w:shd w:fill="FFFFFF"/>
          </w:tcPr>
          <w:p>
            <w:pPr>
              <w:jc w:val="right"/>
            </w:pPr>
            <w:r>
              <w:rPr>
                <w:sz w:val="16"/>
              </w:rPr>
              <w:t>+54.2%</w:t>
            </w:r>
          </w:p>
        </w:tc>
        <w:tc>
          <w:tcPr>
            <w:tcW w:type="dxa" w:w="2016"/>
            <w:shd w:fill="FFFFFF"/>
          </w:tcPr>
          <w:p>
            <w:pPr>
              <w:jc w:val="center"/>
            </w:pPr>
            <w:r>
              <w:rPr>
                <w:sz w:val="16"/>
              </w:rPr>
              <w:t>Increase</w:t>
            </w:r>
          </w:p>
        </w:tc>
      </w:tr>
      <w:tr>
        <w:tc>
          <w:tcPr>
            <w:tcW w:type="dxa" w:w="2016"/>
            <w:shd w:fill="F7FAFC"/>
          </w:tcPr>
          <w:p>
            <w:r>
              <w:rPr>
                <w:sz w:val="16"/>
              </w:rPr>
              <w:t>Trade Payables</w:t>
            </w:r>
          </w:p>
        </w:tc>
        <w:tc>
          <w:tcPr>
            <w:tcW w:type="dxa" w:w="2016"/>
            <w:shd w:fill="F7FAFC"/>
          </w:tcPr>
          <w:p>
            <w:pPr>
              <w:jc w:val="right"/>
            </w:pPr>
            <w:r>
              <w:rPr>
                <w:sz w:val="16"/>
              </w:rPr>
              <w:t>1,420.00</w:t>
            </w:r>
          </w:p>
        </w:tc>
        <w:tc>
          <w:tcPr>
            <w:tcW w:type="dxa" w:w="2016"/>
            <w:shd w:fill="F7FAFC"/>
          </w:tcPr>
          <w:p>
            <w:pPr>
              <w:jc w:val="right"/>
            </w:pPr>
            <w:r>
              <w:rPr>
                <w:sz w:val="16"/>
              </w:rPr>
              <w:t>1,150.00</w:t>
            </w:r>
          </w:p>
        </w:tc>
        <w:tc>
          <w:tcPr>
            <w:tcW w:type="dxa" w:w="2016"/>
            <w:shd w:fill="F7FAFC"/>
          </w:tcPr>
          <w:p>
            <w:pPr>
              <w:jc w:val="right"/>
            </w:pPr>
            <w:r>
              <w:rPr>
                <w:sz w:val="16"/>
              </w:rPr>
              <w:t>+23.5%</w:t>
            </w:r>
          </w:p>
        </w:tc>
        <w:tc>
          <w:tcPr>
            <w:tcW w:type="dxa" w:w="2016"/>
            <w:shd w:fill="F7FAFC"/>
          </w:tcPr>
          <w:p>
            <w:pPr>
              <w:jc w:val="center"/>
            </w:pPr>
            <w:r>
              <w:rPr>
                <w:sz w:val="16"/>
              </w:rPr>
              <w:t>Increase</w:t>
            </w:r>
          </w:p>
        </w:tc>
      </w:tr>
      <w:tr>
        <w:tc>
          <w:tcPr>
            <w:tcW w:type="dxa" w:w="2016"/>
            <w:shd w:fill="FFFFFF"/>
          </w:tcPr>
          <w:p>
            <w:r>
              <w:rPr>
                <w:sz w:val="16"/>
              </w:rPr>
              <w:t>Other Current Liabilities &amp; Provisions</w:t>
            </w:r>
          </w:p>
        </w:tc>
        <w:tc>
          <w:tcPr>
            <w:tcW w:type="dxa" w:w="2016"/>
            <w:shd w:fill="FFFFFF"/>
          </w:tcPr>
          <w:p>
            <w:pPr>
              <w:jc w:val="right"/>
            </w:pPr>
            <w:r>
              <w:rPr>
                <w:sz w:val="16"/>
              </w:rPr>
              <w:t>460.00</w:t>
            </w:r>
          </w:p>
        </w:tc>
        <w:tc>
          <w:tcPr>
            <w:tcW w:type="dxa" w:w="2016"/>
            <w:shd w:fill="FFFFFF"/>
          </w:tcPr>
          <w:p>
            <w:pPr>
              <w:jc w:val="right"/>
            </w:pPr>
            <w:r>
              <w:rPr>
                <w:sz w:val="16"/>
              </w:rPr>
              <w:t>380.00</w:t>
            </w:r>
          </w:p>
        </w:tc>
        <w:tc>
          <w:tcPr>
            <w:tcW w:type="dxa" w:w="2016"/>
            <w:shd w:fill="FFFFFF"/>
          </w:tcPr>
          <w:p>
            <w:pPr>
              <w:jc w:val="right"/>
            </w:pPr>
            <w:r>
              <w:rPr>
                <w:sz w:val="16"/>
              </w:rPr>
              <w:t>+21.1%</w:t>
            </w:r>
          </w:p>
        </w:tc>
        <w:tc>
          <w:tcPr>
            <w:tcW w:type="dxa" w:w="2016"/>
            <w:shd w:fill="FFFFFF"/>
          </w:tcPr>
          <w:p>
            <w:pPr>
              <w:jc w:val="center"/>
            </w:pPr>
            <w:r>
              <w:rPr>
                <w:sz w:val="16"/>
              </w:rPr>
              <w:t>Increase</w:t>
            </w:r>
          </w:p>
        </w:tc>
      </w:tr>
      <w:tr>
        <w:tc>
          <w:tcPr>
            <w:tcW w:type="dxa" w:w="2016"/>
            <w:shd w:fill="F7FAFC"/>
          </w:tcPr>
          <w:p>
            <w:r>
              <w:rPr>
                <w:sz w:val="16"/>
              </w:rPr>
              <w:t>TOTAL EQUITY AND LIABILITIES</w:t>
            </w:r>
          </w:p>
        </w:tc>
        <w:tc>
          <w:tcPr>
            <w:tcW w:type="dxa" w:w="2016"/>
            <w:shd w:fill="F7FAFC"/>
          </w:tcPr>
          <w:p>
            <w:pPr>
              <w:jc w:val="right"/>
            </w:pPr>
            <w:r>
              <w:rPr>
                <w:sz w:val="16"/>
              </w:rPr>
              <w:t>12,250.50</w:t>
            </w:r>
          </w:p>
        </w:tc>
        <w:tc>
          <w:tcPr>
            <w:tcW w:type="dxa" w:w="2016"/>
            <w:shd w:fill="F7FAFC"/>
          </w:tcPr>
          <w:p>
            <w:pPr>
              <w:jc w:val="right"/>
            </w:pPr>
            <w:r>
              <w:rPr>
                <w:sz w:val="16"/>
              </w:rPr>
              <w:t>10,130.00</w:t>
            </w:r>
          </w:p>
        </w:tc>
        <w:tc>
          <w:tcPr>
            <w:tcW w:type="dxa" w:w="2016"/>
            <w:shd w:fill="F7FAFC"/>
          </w:tcPr>
          <w:p>
            <w:pPr>
              <w:jc w:val="right"/>
            </w:pPr>
            <w:r>
              <w:rPr>
                <w:sz w:val="16"/>
              </w:rPr>
              <w:t>+20.9%</w:t>
            </w:r>
          </w:p>
        </w:tc>
        <w:tc>
          <w:tcPr>
            <w:tcW w:type="dxa" w:w="2016"/>
            <w:shd w:fill="F7FAFC"/>
          </w:tcPr>
          <w:p>
            <w:pPr>
              <w:jc w:val="center"/>
            </w:pPr>
            <w:r>
              <w:rPr>
                <w:sz w:val="16"/>
              </w:rPr>
              <w:t>Increase</w:t>
            </w:r>
          </w:p>
        </w:tc>
      </w:tr>
      <w:tr>
        <w:tc>
          <w:tcPr>
            <w:tcW w:type="dxa" w:w="2016"/>
            <w:shd w:fill="FFFFFF"/>
          </w:tcPr>
          <w:p>
            <w:r>
              <w:rPr>
                <w:sz w:val="16"/>
              </w:rPr>
              <w:t>Property, Plant and Equipment (Gross Block)</w:t>
            </w:r>
          </w:p>
        </w:tc>
        <w:tc>
          <w:tcPr>
            <w:tcW w:type="dxa" w:w="2016"/>
            <w:shd w:fill="FFFFFF"/>
          </w:tcPr>
          <w:p>
            <w:pPr>
              <w:jc w:val="right"/>
            </w:pPr>
            <w:r>
              <w:rPr>
                <w:sz w:val="16"/>
              </w:rPr>
              <w:t>5,400.00</w:t>
            </w:r>
          </w:p>
        </w:tc>
        <w:tc>
          <w:tcPr>
            <w:tcW w:type="dxa" w:w="2016"/>
            <w:shd w:fill="FFFFFF"/>
          </w:tcPr>
          <w:p>
            <w:pPr>
              <w:jc w:val="right"/>
            </w:pPr>
            <w:r>
              <w:rPr>
                <w:sz w:val="16"/>
              </w:rPr>
              <w:t>4,600.00</w:t>
            </w:r>
          </w:p>
        </w:tc>
        <w:tc>
          <w:tcPr>
            <w:tcW w:type="dxa" w:w="2016"/>
            <w:shd w:fill="FFFFFF"/>
          </w:tcPr>
          <w:p>
            <w:pPr>
              <w:jc w:val="right"/>
            </w:pPr>
            <w:r>
              <w:rPr>
                <w:sz w:val="16"/>
              </w:rPr>
              <w:t>+17.4%</w:t>
            </w:r>
          </w:p>
        </w:tc>
        <w:tc>
          <w:tcPr>
            <w:tcW w:type="dxa" w:w="2016"/>
            <w:shd w:fill="FFFFFF"/>
          </w:tcPr>
          <w:p>
            <w:pPr>
              <w:jc w:val="center"/>
            </w:pPr>
            <w:r>
              <w:rPr>
                <w:sz w:val="16"/>
              </w:rPr>
              <w:t>Increase</w:t>
            </w:r>
          </w:p>
        </w:tc>
      </w:tr>
      <w:tr>
        <w:tc>
          <w:tcPr>
            <w:tcW w:type="dxa" w:w="2016"/>
            <w:shd w:fill="F7FAFC"/>
          </w:tcPr>
          <w:p>
            <w:r>
              <w:rPr>
                <w:sz w:val="16"/>
              </w:rPr>
              <w:t>Capital Work-in-Progress (CWIP)</w:t>
            </w:r>
          </w:p>
        </w:tc>
        <w:tc>
          <w:tcPr>
            <w:tcW w:type="dxa" w:w="2016"/>
            <w:shd w:fill="F7FAFC"/>
          </w:tcPr>
          <w:p>
            <w:pPr>
              <w:jc w:val="right"/>
            </w:pPr>
            <w:r>
              <w:rPr>
                <w:sz w:val="16"/>
              </w:rPr>
              <w:t>450.00</w:t>
            </w:r>
          </w:p>
        </w:tc>
        <w:tc>
          <w:tcPr>
            <w:tcW w:type="dxa" w:w="2016"/>
            <w:shd w:fill="F7FAFC"/>
          </w:tcPr>
          <w:p>
            <w:pPr>
              <w:jc w:val="right"/>
            </w:pPr>
            <w:r>
              <w:rPr>
                <w:sz w:val="16"/>
              </w:rPr>
              <w:t>210.00</w:t>
            </w:r>
          </w:p>
        </w:tc>
        <w:tc>
          <w:tcPr>
            <w:tcW w:type="dxa" w:w="2016"/>
            <w:shd w:fill="F7FAFC"/>
          </w:tcPr>
          <w:p>
            <w:pPr>
              <w:jc w:val="right"/>
            </w:pPr>
            <w:r>
              <w:rPr>
                <w:sz w:val="16"/>
              </w:rPr>
              <w:t>+114.3%</w:t>
            </w:r>
          </w:p>
        </w:tc>
        <w:tc>
          <w:tcPr>
            <w:tcW w:type="dxa" w:w="2016"/>
            <w:shd w:fill="F7FAFC"/>
          </w:tcPr>
          <w:p>
            <w:pPr>
              <w:jc w:val="center"/>
            </w:pPr>
            <w:r>
              <w:rPr>
                <w:sz w:val="16"/>
              </w:rPr>
              <w:t>Increase</w:t>
            </w:r>
          </w:p>
        </w:tc>
      </w:tr>
    </w:tbl>
    <w:p>
      <w:pPr>
        <w:spacing w:after="240"/>
      </w:pPr>
    </w:p>
    <w:p>
      <w:pPr>
        <w:pStyle w:val="Heading1"/>
      </w:pPr>
      <w:r>
        <w:rPr>
          <w:rFonts w:ascii="Segoe UI" w:hAnsi="Segoe UI"/>
          <w:color w:val="1A365D"/>
        </w:rPr>
        <w:t>5. Significant Variations Analysis (&gt;= 5% Threshold)</w:t>
      </w:r>
    </w:p>
    <w:p>
      <w:r>
        <w:t>The application has identified 34 line items exhibiting material movements greater than or equal to 5% compared to the previous period.</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A365D"/>
          </w:tcPr>
          <w:p>
            <w:pPr>
              <w:jc w:val="left"/>
            </w:pPr>
            <w:r>
              <w:rPr>
                <w:rFonts w:ascii="Segoe UI" w:hAnsi="Segoe UI"/>
                <w:b/>
                <w:color w:val="FFFFFF"/>
                <w:sz w:val="17"/>
              </w:rPr>
              <w:t>Statement</w:t>
            </w:r>
          </w:p>
        </w:tc>
        <w:tc>
          <w:tcPr>
            <w:tcW w:type="dxa" w:w="1680"/>
            <w:shd w:fill="1A365D"/>
          </w:tcPr>
          <w:p>
            <w:pPr>
              <w:jc w:val="left"/>
            </w:pPr>
            <w:r>
              <w:rPr>
                <w:rFonts w:ascii="Segoe UI" w:hAnsi="Segoe UI"/>
                <w:b/>
                <w:color w:val="FFFFFF"/>
                <w:sz w:val="17"/>
              </w:rPr>
              <w:t>Particulars</w:t>
            </w:r>
          </w:p>
        </w:tc>
        <w:tc>
          <w:tcPr>
            <w:tcW w:type="dxa" w:w="1680"/>
            <w:shd w:fill="1A365D"/>
          </w:tcPr>
          <w:p>
            <w:pPr>
              <w:jc w:val="right"/>
            </w:pPr>
            <w:r>
              <w:rPr>
                <w:rFonts w:ascii="Segoe UI" w:hAnsi="Segoe UI"/>
                <w:b/>
                <w:color w:val="FFFFFF"/>
                <w:sz w:val="17"/>
              </w:rPr>
              <w:t>Prior Amount</w:t>
            </w:r>
          </w:p>
        </w:tc>
        <w:tc>
          <w:tcPr>
            <w:tcW w:type="dxa" w:w="1680"/>
            <w:shd w:fill="1A365D"/>
          </w:tcPr>
          <w:p>
            <w:pPr>
              <w:jc w:val="right"/>
            </w:pPr>
            <w:r>
              <w:rPr>
                <w:rFonts w:ascii="Segoe UI" w:hAnsi="Segoe UI"/>
                <w:b/>
                <w:color w:val="FFFFFF"/>
                <w:sz w:val="17"/>
              </w:rPr>
              <w:t>Current Amount</w:t>
            </w:r>
          </w:p>
        </w:tc>
        <w:tc>
          <w:tcPr>
            <w:tcW w:type="dxa" w:w="1680"/>
            <w:shd w:fill="1A365D"/>
          </w:tcPr>
          <w:p>
            <w:pPr>
              <w:jc w:val="right"/>
            </w:pPr>
            <w:r>
              <w:rPr>
                <w:rFonts w:ascii="Segoe UI" w:hAnsi="Segoe UI"/>
                <w:b/>
                <w:color w:val="FFFFFF"/>
                <w:sz w:val="17"/>
              </w:rPr>
              <w:t>Change (%)</w:t>
            </w:r>
          </w:p>
        </w:tc>
        <w:tc>
          <w:tcPr>
            <w:tcW w:type="dxa" w:w="1680"/>
            <w:shd w:fill="1A365D"/>
          </w:tcPr>
          <w:p>
            <w:pPr>
              <w:jc w:val="right"/>
            </w:pPr>
            <w:r>
              <w:rPr>
                <w:rFonts w:ascii="Segoe UI" w:hAnsi="Segoe UI"/>
                <w:b/>
                <w:color w:val="FFFFFF"/>
                <w:sz w:val="17"/>
              </w:rPr>
              <w:t>Risk Level</w:t>
            </w:r>
          </w:p>
        </w:tc>
      </w:tr>
      <w:tr>
        <w:tc>
          <w:tcPr>
            <w:tcW w:type="dxa" w:w="1680"/>
            <w:shd w:fill="FFFFFF"/>
          </w:tcPr>
          <w:p>
            <w:r>
              <w:rPr>
                <w:sz w:val="16"/>
              </w:rPr>
              <w:t>Profit &amp; Loss</w:t>
            </w:r>
          </w:p>
        </w:tc>
        <w:tc>
          <w:tcPr>
            <w:tcW w:type="dxa" w:w="1680"/>
            <w:shd w:fill="FFFFFF"/>
          </w:tcPr>
          <w:p>
            <w:r>
              <w:rPr>
                <w:b/>
                <w:sz w:val="16"/>
              </w:rPr>
              <w:t>TOTAL INCOME</w:t>
            </w:r>
          </w:p>
        </w:tc>
        <w:tc>
          <w:tcPr>
            <w:tcW w:type="dxa" w:w="1680"/>
            <w:shd w:fill="FFFFFF"/>
          </w:tcPr>
          <w:p>
            <w:pPr>
              <w:jc w:val="right"/>
            </w:pPr>
            <w:r>
              <w:rPr>
                <w:sz w:val="16"/>
              </w:rPr>
              <w:t>12,340.00</w:t>
            </w:r>
          </w:p>
        </w:tc>
        <w:tc>
          <w:tcPr>
            <w:tcW w:type="dxa" w:w="1680"/>
            <w:shd w:fill="FFFFFF"/>
          </w:tcPr>
          <w:p>
            <w:pPr>
              <w:jc w:val="right"/>
            </w:pPr>
            <w:r>
              <w:rPr>
                <w:sz w:val="16"/>
              </w:rPr>
              <w:t>14,680.00</w:t>
            </w:r>
          </w:p>
        </w:tc>
        <w:tc>
          <w:tcPr>
            <w:tcW w:type="dxa" w:w="1680"/>
            <w:shd w:fill="FFFFFF"/>
          </w:tcPr>
          <w:p>
            <w:pPr>
              <w:jc w:val="right"/>
            </w:pPr>
            <w:r>
              <w:rPr>
                <w:sz w:val="16"/>
              </w:rPr>
              <w:t>+19.0%</w:t>
            </w:r>
          </w:p>
        </w:tc>
        <w:tc>
          <w:tcPr>
            <w:tcW w:type="dxa" w:w="1680"/>
          </w:tcPr>
          <w:p>
            <w:pPr>
              <w:jc w:val="center"/>
            </w:pPr>
            <w:r>
              <w:rPr>
                <w:b/>
                <w:sz w:val="16"/>
              </w:rPr>
              <w:t>Low</w:t>
            </w:r>
          </w:p>
        </w:tc>
      </w:tr>
      <w:tr>
        <w:tc>
          <w:tcPr>
            <w:tcW w:type="dxa" w:w="1680"/>
            <w:shd w:fill="F7FAFC"/>
          </w:tcPr>
          <w:p>
            <w:r>
              <w:rPr>
                <w:sz w:val="16"/>
              </w:rPr>
              <w:t>Profit &amp; Loss</w:t>
            </w:r>
          </w:p>
        </w:tc>
        <w:tc>
          <w:tcPr>
            <w:tcW w:type="dxa" w:w="1680"/>
            <w:shd w:fill="F7FAFC"/>
          </w:tcPr>
          <w:p>
            <w:r>
              <w:rPr>
                <w:b/>
                <w:sz w:val="16"/>
              </w:rPr>
              <w:t>Revenue from Operations (Gross Sales)</w:t>
            </w:r>
          </w:p>
        </w:tc>
        <w:tc>
          <w:tcPr>
            <w:tcW w:type="dxa" w:w="1680"/>
            <w:shd w:fill="F7FAFC"/>
          </w:tcPr>
          <w:p>
            <w:pPr>
              <w:jc w:val="right"/>
            </w:pPr>
            <w:r>
              <w:rPr>
                <w:sz w:val="16"/>
              </w:rPr>
              <w:t>12,200.00</w:t>
            </w:r>
          </w:p>
        </w:tc>
        <w:tc>
          <w:tcPr>
            <w:tcW w:type="dxa" w:w="1680"/>
            <w:shd w:fill="F7FAFC"/>
          </w:tcPr>
          <w:p>
            <w:pPr>
              <w:jc w:val="right"/>
            </w:pPr>
            <w:r>
              <w:rPr>
                <w:sz w:val="16"/>
              </w:rPr>
              <w:t>14,500.00</w:t>
            </w:r>
          </w:p>
        </w:tc>
        <w:tc>
          <w:tcPr>
            <w:tcW w:type="dxa" w:w="1680"/>
            <w:shd w:fill="F7FAFC"/>
          </w:tcPr>
          <w:p>
            <w:pPr>
              <w:jc w:val="right"/>
            </w:pPr>
            <w:r>
              <w:rPr>
                <w:sz w:val="16"/>
              </w:rPr>
              <w:t>+18.9%</w:t>
            </w:r>
          </w:p>
        </w:tc>
        <w:tc>
          <w:tcPr>
            <w:tcW w:type="dxa" w:w="1680"/>
          </w:tcPr>
          <w:p>
            <w:pPr>
              <w:jc w:val="center"/>
            </w:pPr>
            <w:r>
              <w:rPr>
                <w:b/>
                <w:sz w:val="16"/>
              </w:rPr>
              <w:t>Medium</w:t>
            </w:r>
          </w:p>
        </w:tc>
      </w:tr>
      <w:tr>
        <w:tc>
          <w:tcPr>
            <w:tcW w:type="dxa" w:w="1680"/>
            <w:shd w:fill="FFFFFF"/>
          </w:tcPr>
          <w:p>
            <w:r>
              <w:rPr>
                <w:sz w:val="16"/>
              </w:rPr>
              <w:t>Profit &amp; Loss</w:t>
            </w:r>
          </w:p>
        </w:tc>
        <w:tc>
          <w:tcPr>
            <w:tcW w:type="dxa" w:w="1680"/>
            <w:shd w:fill="FFFFFF"/>
          </w:tcPr>
          <w:p>
            <w:r>
              <w:rPr>
                <w:b/>
                <w:sz w:val="16"/>
              </w:rPr>
              <w:t>TOTAL EXPENSES</w:t>
            </w:r>
          </w:p>
        </w:tc>
        <w:tc>
          <w:tcPr>
            <w:tcW w:type="dxa" w:w="1680"/>
            <w:shd w:fill="FFFFFF"/>
          </w:tcPr>
          <w:p>
            <w:pPr>
              <w:jc w:val="right"/>
            </w:pPr>
            <w:r>
              <w:rPr>
                <w:sz w:val="16"/>
              </w:rPr>
              <w:t>11,080.00</w:t>
            </w:r>
          </w:p>
        </w:tc>
        <w:tc>
          <w:tcPr>
            <w:tcW w:type="dxa" w:w="1680"/>
            <w:shd w:fill="FFFFFF"/>
          </w:tcPr>
          <w:p>
            <w:pPr>
              <w:jc w:val="right"/>
            </w:pPr>
            <w:r>
              <w:rPr>
                <w:sz w:val="16"/>
              </w:rPr>
              <w:t>13,250.00</w:t>
            </w:r>
          </w:p>
        </w:tc>
        <w:tc>
          <w:tcPr>
            <w:tcW w:type="dxa" w:w="1680"/>
            <w:shd w:fill="FFFFFF"/>
          </w:tcPr>
          <w:p>
            <w:pPr>
              <w:jc w:val="right"/>
            </w:pPr>
            <w:r>
              <w:rPr>
                <w:sz w:val="16"/>
              </w:rPr>
              <w:t>+19.6%</w:t>
            </w:r>
          </w:p>
        </w:tc>
        <w:tc>
          <w:tcPr>
            <w:tcW w:type="dxa" w:w="1680"/>
          </w:tcPr>
          <w:p>
            <w:pPr>
              <w:jc w:val="center"/>
            </w:pPr>
            <w:r>
              <w:rPr>
                <w:b/>
                <w:sz w:val="16"/>
              </w:rPr>
              <w:t>Low</w:t>
            </w:r>
          </w:p>
        </w:tc>
      </w:tr>
      <w:tr>
        <w:tc>
          <w:tcPr>
            <w:tcW w:type="dxa" w:w="1680"/>
            <w:shd w:fill="F7FAFC"/>
          </w:tcPr>
          <w:p>
            <w:r>
              <w:rPr>
                <w:sz w:val="16"/>
              </w:rPr>
              <w:t>Balance Sheet</w:t>
            </w:r>
          </w:p>
        </w:tc>
        <w:tc>
          <w:tcPr>
            <w:tcW w:type="dxa" w:w="1680"/>
            <w:shd w:fill="F7FAFC"/>
          </w:tcPr>
          <w:p>
            <w:r>
              <w:rPr>
                <w:b/>
                <w:sz w:val="16"/>
              </w:rPr>
              <w:t>TOTAL EQUITY AND LIABILITIES</w:t>
            </w:r>
          </w:p>
        </w:tc>
        <w:tc>
          <w:tcPr>
            <w:tcW w:type="dxa" w:w="1680"/>
            <w:shd w:fill="F7FAFC"/>
          </w:tcPr>
          <w:p>
            <w:pPr>
              <w:jc w:val="right"/>
            </w:pPr>
            <w:r>
              <w:rPr>
                <w:sz w:val="16"/>
              </w:rPr>
              <w:t>10,130.00</w:t>
            </w:r>
          </w:p>
        </w:tc>
        <w:tc>
          <w:tcPr>
            <w:tcW w:type="dxa" w:w="1680"/>
            <w:shd w:fill="F7FAFC"/>
          </w:tcPr>
          <w:p>
            <w:pPr>
              <w:jc w:val="right"/>
            </w:pPr>
            <w:r>
              <w:rPr>
                <w:sz w:val="16"/>
              </w:rPr>
              <w:t>12,250.50</w:t>
            </w:r>
          </w:p>
        </w:tc>
        <w:tc>
          <w:tcPr>
            <w:tcW w:type="dxa" w:w="1680"/>
            <w:shd w:fill="F7FAFC"/>
          </w:tcPr>
          <w:p>
            <w:pPr>
              <w:jc w:val="right"/>
            </w:pPr>
            <w:r>
              <w:rPr>
                <w:sz w:val="16"/>
              </w:rPr>
              <w:t>+20.9%</w:t>
            </w:r>
          </w:p>
        </w:tc>
        <w:tc>
          <w:tcPr>
            <w:tcW w:type="dxa" w:w="1680"/>
          </w:tcPr>
          <w:p>
            <w:pPr>
              <w:jc w:val="center"/>
            </w:pPr>
            <w:r>
              <w:rPr>
                <w:b/>
                <w:sz w:val="16"/>
              </w:rPr>
              <w:t>Low</w:t>
            </w:r>
          </w:p>
        </w:tc>
      </w:tr>
      <w:tr>
        <w:tc>
          <w:tcPr>
            <w:tcW w:type="dxa" w:w="1680"/>
            <w:shd w:fill="FFFFFF"/>
          </w:tcPr>
          <w:p>
            <w:r>
              <w:rPr>
                <w:sz w:val="16"/>
              </w:rPr>
              <w:t>Balance Sheet</w:t>
            </w:r>
          </w:p>
        </w:tc>
        <w:tc>
          <w:tcPr>
            <w:tcW w:type="dxa" w:w="1680"/>
            <w:shd w:fill="FFFFFF"/>
          </w:tcPr>
          <w:p>
            <w:r>
              <w:rPr>
                <w:b/>
                <w:sz w:val="16"/>
              </w:rPr>
              <w:t>TOTAL ASSETS</w:t>
            </w:r>
          </w:p>
        </w:tc>
        <w:tc>
          <w:tcPr>
            <w:tcW w:type="dxa" w:w="1680"/>
            <w:shd w:fill="FFFFFF"/>
          </w:tcPr>
          <w:p>
            <w:pPr>
              <w:jc w:val="right"/>
            </w:pPr>
            <w:r>
              <w:rPr>
                <w:sz w:val="16"/>
              </w:rPr>
              <w:t>10,130.00</w:t>
            </w:r>
          </w:p>
        </w:tc>
        <w:tc>
          <w:tcPr>
            <w:tcW w:type="dxa" w:w="1680"/>
            <w:shd w:fill="FFFFFF"/>
          </w:tcPr>
          <w:p>
            <w:pPr>
              <w:jc w:val="right"/>
            </w:pPr>
            <w:r>
              <w:rPr>
                <w:sz w:val="16"/>
              </w:rPr>
              <w:t>12,250.50</w:t>
            </w:r>
          </w:p>
        </w:tc>
        <w:tc>
          <w:tcPr>
            <w:tcW w:type="dxa" w:w="1680"/>
            <w:shd w:fill="FFFFFF"/>
          </w:tcPr>
          <w:p>
            <w:pPr>
              <w:jc w:val="right"/>
            </w:pPr>
            <w:r>
              <w:rPr>
                <w:sz w:val="16"/>
              </w:rPr>
              <w:t>+20.9%</w:t>
            </w:r>
          </w:p>
        </w:tc>
        <w:tc>
          <w:tcPr>
            <w:tcW w:type="dxa" w:w="1680"/>
          </w:tcPr>
          <w:p>
            <w:pPr>
              <w:jc w:val="center"/>
            </w:pPr>
            <w:r>
              <w:rPr>
                <w:b/>
                <w:sz w:val="16"/>
              </w:rPr>
              <w:t>Medium</w:t>
            </w:r>
          </w:p>
        </w:tc>
      </w:tr>
      <w:tr>
        <w:tc>
          <w:tcPr>
            <w:tcW w:type="dxa" w:w="1680"/>
            <w:shd w:fill="F7FAFC"/>
          </w:tcPr>
          <w:p>
            <w:r>
              <w:rPr>
                <w:sz w:val="16"/>
              </w:rPr>
              <w:t>Profit &amp; Loss</w:t>
            </w:r>
          </w:p>
        </w:tc>
        <w:tc>
          <w:tcPr>
            <w:tcW w:type="dxa" w:w="1680"/>
            <w:shd w:fill="F7FAFC"/>
          </w:tcPr>
          <w:p>
            <w:r>
              <w:rPr>
                <w:b/>
                <w:sz w:val="16"/>
              </w:rPr>
              <w:t>Cost of Materials Consumed</w:t>
            </w:r>
          </w:p>
        </w:tc>
        <w:tc>
          <w:tcPr>
            <w:tcW w:type="dxa" w:w="1680"/>
            <w:shd w:fill="F7FAFC"/>
          </w:tcPr>
          <w:p>
            <w:pPr>
              <w:jc w:val="right"/>
            </w:pPr>
            <w:r>
              <w:rPr>
                <w:sz w:val="16"/>
              </w:rPr>
              <w:t>6,900.00</w:t>
            </w:r>
          </w:p>
        </w:tc>
        <w:tc>
          <w:tcPr>
            <w:tcW w:type="dxa" w:w="1680"/>
            <w:shd w:fill="F7FAFC"/>
          </w:tcPr>
          <w:p>
            <w:pPr>
              <w:jc w:val="right"/>
            </w:pPr>
            <w:r>
              <w:rPr>
                <w:sz w:val="16"/>
              </w:rPr>
              <w:t>8,200.00</w:t>
            </w:r>
          </w:p>
        </w:tc>
        <w:tc>
          <w:tcPr>
            <w:tcW w:type="dxa" w:w="1680"/>
            <w:shd w:fill="F7FAFC"/>
          </w:tcPr>
          <w:p>
            <w:pPr>
              <w:jc w:val="right"/>
            </w:pPr>
            <w:r>
              <w:rPr>
                <w:sz w:val="16"/>
              </w:rPr>
              <w:t>+18.8%</w:t>
            </w:r>
          </w:p>
        </w:tc>
        <w:tc>
          <w:tcPr>
            <w:tcW w:type="dxa" w:w="1680"/>
          </w:tcPr>
          <w:p>
            <w:pPr>
              <w:jc w:val="center"/>
            </w:pPr>
            <w:r>
              <w:rPr>
                <w:b/>
                <w:sz w:val="16"/>
              </w:rPr>
              <w:t>Low</w:t>
            </w:r>
          </w:p>
        </w:tc>
      </w:tr>
      <w:tr>
        <w:tc>
          <w:tcPr>
            <w:tcW w:type="dxa" w:w="1680"/>
            <w:shd w:fill="FFFFFF"/>
          </w:tcPr>
          <w:p>
            <w:r>
              <w:rPr>
                <w:sz w:val="16"/>
              </w:rPr>
              <w:t>Balance Sheet</w:t>
            </w:r>
          </w:p>
        </w:tc>
        <w:tc>
          <w:tcPr>
            <w:tcW w:type="dxa" w:w="1680"/>
            <w:shd w:fill="FFFFFF"/>
          </w:tcPr>
          <w:p>
            <w:r>
              <w:rPr>
                <w:b/>
                <w:sz w:val="16"/>
              </w:rPr>
              <w:t>Property, Plant and Equipment (Gross Block)</w:t>
            </w:r>
          </w:p>
        </w:tc>
        <w:tc>
          <w:tcPr>
            <w:tcW w:type="dxa" w:w="1680"/>
            <w:shd w:fill="FFFFFF"/>
          </w:tcPr>
          <w:p>
            <w:pPr>
              <w:jc w:val="right"/>
            </w:pPr>
            <w:r>
              <w:rPr>
                <w:sz w:val="16"/>
              </w:rPr>
              <w:t>4,600.00</w:t>
            </w:r>
          </w:p>
        </w:tc>
        <w:tc>
          <w:tcPr>
            <w:tcW w:type="dxa" w:w="1680"/>
            <w:shd w:fill="FFFFFF"/>
          </w:tcPr>
          <w:p>
            <w:pPr>
              <w:jc w:val="right"/>
            </w:pPr>
            <w:r>
              <w:rPr>
                <w:sz w:val="16"/>
              </w:rPr>
              <w:t>5,400.00</w:t>
            </w:r>
          </w:p>
        </w:tc>
        <w:tc>
          <w:tcPr>
            <w:tcW w:type="dxa" w:w="1680"/>
            <w:shd w:fill="FFFFFF"/>
          </w:tcPr>
          <w:p>
            <w:pPr>
              <w:jc w:val="right"/>
            </w:pPr>
            <w:r>
              <w:rPr>
                <w:sz w:val="16"/>
              </w:rPr>
              <w:t>+17.4%</w:t>
            </w:r>
          </w:p>
        </w:tc>
        <w:tc>
          <w:tcPr>
            <w:tcW w:type="dxa" w:w="1680"/>
          </w:tcPr>
          <w:p>
            <w:pPr>
              <w:jc w:val="center"/>
            </w:pPr>
            <w:r>
              <w:rPr>
                <w:b/>
                <w:sz w:val="16"/>
              </w:rPr>
              <w:t>Medium</w:t>
            </w:r>
          </w:p>
        </w:tc>
      </w:tr>
      <w:tr>
        <w:tc>
          <w:tcPr>
            <w:tcW w:type="dxa" w:w="1680"/>
            <w:shd w:fill="F7FAFC"/>
          </w:tcPr>
          <w:p>
            <w:r>
              <w:rPr>
                <w:sz w:val="16"/>
              </w:rPr>
              <w:t>Balance Sheet</w:t>
            </w:r>
          </w:p>
        </w:tc>
        <w:tc>
          <w:tcPr>
            <w:tcW w:type="dxa" w:w="1680"/>
            <w:shd w:fill="F7FAFC"/>
          </w:tcPr>
          <w:p>
            <w:r>
              <w:rPr>
                <w:b/>
                <w:sz w:val="16"/>
              </w:rPr>
              <w:t>Short-Term Borrowings (Cash Credit Limits)</w:t>
            </w:r>
          </w:p>
        </w:tc>
        <w:tc>
          <w:tcPr>
            <w:tcW w:type="dxa" w:w="1680"/>
            <w:shd w:fill="F7FAFC"/>
          </w:tcPr>
          <w:p>
            <w:pPr>
              <w:jc w:val="right"/>
            </w:pPr>
            <w:r>
              <w:rPr>
                <w:sz w:val="16"/>
              </w:rPr>
              <w:t>1,200.00</w:t>
            </w:r>
          </w:p>
        </w:tc>
        <w:tc>
          <w:tcPr>
            <w:tcW w:type="dxa" w:w="1680"/>
            <w:shd w:fill="F7FAFC"/>
          </w:tcPr>
          <w:p>
            <w:pPr>
              <w:jc w:val="right"/>
            </w:pPr>
            <w:r>
              <w:rPr>
                <w:sz w:val="16"/>
              </w:rPr>
              <w:t>1,850.00</w:t>
            </w:r>
          </w:p>
        </w:tc>
        <w:tc>
          <w:tcPr>
            <w:tcW w:type="dxa" w:w="1680"/>
            <w:shd w:fill="F7FAFC"/>
          </w:tcPr>
          <w:p>
            <w:pPr>
              <w:jc w:val="right"/>
            </w:pPr>
            <w:r>
              <w:rPr>
                <w:sz w:val="16"/>
              </w:rPr>
              <w:t>+54.2%</w:t>
            </w:r>
          </w:p>
        </w:tc>
        <w:tc>
          <w:tcPr>
            <w:tcW w:type="dxa" w:w="1680"/>
          </w:tcPr>
          <w:p>
            <w:pPr>
              <w:jc w:val="center"/>
            </w:pPr>
            <w:r>
              <w:rPr>
                <w:b/>
                <w:sz w:val="16"/>
              </w:rPr>
              <w:t>Low</w:t>
            </w:r>
          </w:p>
        </w:tc>
      </w:tr>
      <w:tr>
        <w:tc>
          <w:tcPr>
            <w:tcW w:type="dxa" w:w="1680"/>
            <w:shd w:fill="FFFFFF"/>
          </w:tcPr>
          <w:p>
            <w:r>
              <w:rPr>
                <w:sz w:val="16"/>
              </w:rPr>
              <w:t>Balance Sheet</w:t>
            </w:r>
          </w:p>
        </w:tc>
        <w:tc>
          <w:tcPr>
            <w:tcW w:type="dxa" w:w="1680"/>
            <w:shd w:fill="FFFFFF"/>
          </w:tcPr>
          <w:p>
            <w:r>
              <w:rPr>
                <w:b/>
                <w:sz w:val="16"/>
              </w:rPr>
              <w:t>Reserves and Surplus</w:t>
            </w:r>
          </w:p>
        </w:tc>
        <w:tc>
          <w:tcPr>
            <w:tcW w:type="dxa" w:w="1680"/>
            <w:shd w:fill="FFFFFF"/>
          </w:tcPr>
          <w:p>
            <w:pPr>
              <w:jc w:val="right"/>
            </w:pPr>
            <w:r>
              <w:rPr>
                <w:sz w:val="16"/>
              </w:rPr>
              <w:t>4,210.00</w:t>
            </w:r>
          </w:p>
        </w:tc>
        <w:tc>
          <w:tcPr>
            <w:tcW w:type="dxa" w:w="1680"/>
            <w:shd w:fill="FFFFFF"/>
          </w:tcPr>
          <w:p>
            <w:pPr>
              <w:jc w:val="right"/>
            </w:pPr>
            <w:r>
              <w:rPr>
                <w:sz w:val="16"/>
              </w:rPr>
              <w:t>4,850.50</w:t>
            </w:r>
          </w:p>
        </w:tc>
        <w:tc>
          <w:tcPr>
            <w:tcW w:type="dxa" w:w="1680"/>
            <w:shd w:fill="FFFFFF"/>
          </w:tcPr>
          <w:p>
            <w:pPr>
              <w:jc w:val="right"/>
            </w:pPr>
            <w:r>
              <w:rPr>
                <w:sz w:val="16"/>
              </w:rPr>
              <w:t>+15.2%</w:t>
            </w:r>
          </w:p>
        </w:tc>
        <w:tc>
          <w:tcPr>
            <w:tcW w:type="dxa" w:w="1680"/>
          </w:tcPr>
          <w:p>
            <w:pPr>
              <w:jc w:val="center"/>
            </w:pPr>
            <w:r>
              <w:rPr>
                <w:b/>
                <w:sz w:val="16"/>
              </w:rPr>
              <w:t>Low</w:t>
            </w:r>
          </w:p>
        </w:tc>
      </w:tr>
      <w:tr>
        <w:tc>
          <w:tcPr>
            <w:tcW w:type="dxa" w:w="1680"/>
            <w:shd w:fill="F7FAFC"/>
          </w:tcPr>
          <w:p>
            <w:r>
              <w:rPr>
                <w:sz w:val="16"/>
              </w:rPr>
              <w:t>Balance Sheet</w:t>
            </w:r>
          </w:p>
        </w:tc>
        <w:tc>
          <w:tcPr>
            <w:tcW w:type="dxa" w:w="1680"/>
            <w:shd w:fill="F7FAFC"/>
          </w:tcPr>
          <w:p>
            <w:r>
              <w:rPr>
                <w:b/>
                <w:sz w:val="16"/>
              </w:rPr>
              <w:t>Inventories (Raw Material, WIP, FG)</w:t>
            </w:r>
          </w:p>
        </w:tc>
        <w:tc>
          <w:tcPr>
            <w:tcW w:type="dxa" w:w="1680"/>
            <w:shd w:fill="F7FAFC"/>
          </w:tcPr>
          <w:p>
            <w:pPr>
              <w:jc w:val="right"/>
            </w:pPr>
            <w:r>
              <w:rPr>
                <w:sz w:val="16"/>
              </w:rPr>
              <w:t>1,850.00</w:t>
            </w:r>
          </w:p>
        </w:tc>
        <w:tc>
          <w:tcPr>
            <w:tcW w:type="dxa" w:w="1680"/>
            <w:shd w:fill="F7FAFC"/>
          </w:tcPr>
          <w:p>
            <w:pPr>
              <w:jc w:val="right"/>
            </w:pPr>
            <w:r>
              <w:rPr>
                <w:sz w:val="16"/>
              </w:rPr>
              <w:t>2,350.00</w:t>
            </w:r>
          </w:p>
        </w:tc>
        <w:tc>
          <w:tcPr>
            <w:tcW w:type="dxa" w:w="1680"/>
            <w:shd w:fill="F7FAFC"/>
          </w:tcPr>
          <w:p>
            <w:pPr>
              <w:jc w:val="right"/>
            </w:pPr>
            <w:r>
              <w:rPr>
                <w:sz w:val="16"/>
              </w:rPr>
              <w:t>+27.0%</w:t>
            </w:r>
          </w:p>
        </w:tc>
        <w:tc>
          <w:tcPr>
            <w:tcW w:type="dxa" w:w="1680"/>
          </w:tcPr>
          <w:p>
            <w:pPr>
              <w:jc w:val="center"/>
            </w:pPr>
            <w:r>
              <w:rPr>
                <w:b/>
                <w:sz w:val="16"/>
              </w:rPr>
              <w:t>Low</w:t>
            </w:r>
          </w:p>
        </w:tc>
      </w:tr>
      <w:tr>
        <w:tc>
          <w:tcPr>
            <w:tcW w:type="dxa" w:w="1680"/>
            <w:shd w:fill="FFFFFF"/>
          </w:tcPr>
          <w:p>
            <w:r>
              <w:rPr>
                <w:sz w:val="16"/>
              </w:rPr>
              <w:t>Balance Sheet</w:t>
            </w:r>
          </w:p>
        </w:tc>
        <w:tc>
          <w:tcPr>
            <w:tcW w:type="dxa" w:w="1680"/>
            <w:shd w:fill="FFFFFF"/>
          </w:tcPr>
          <w:p>
            <w:r>
              <w:rPr>
                <w:b/>
                <w:sz w:val="16"/>
              </w:rPr>
              <w:t>Trade Receivables (Debtors)</w:t>
            </w:r>
          </w:p>
        </w:tc>
        <w:tc>
          <w:tcPr>
            <w:tcW w:type="dxa" w:w="1680"/>
            <w:shd w:fill="FFFFFF"/>
          </w:tcPr>
          <w:p>
            <w:pPr>
              <w:jc w:val="right"/>
            </w:pPr>
            <w:r>
              <w:rPr>
                <w:sz w:val="16"/>
              </w:rPr>
              <w:t>1,720.00</w:t>
            </w:r>
          </w:p>
        </w:tc>
        <w:tc>
          <w:tcPr>
            <w:tcW w:type="dxa" w:w="1680"/>
            <w:shd w:fill="FFFFFF"/>
          </w:tcPr>
          <w:p>
            <w:pPr>
              <w:jc w:val="right"/>
            </w:pPr>
            <w:r>
              <w:rPr>
                <w:sz w:val="16"/>
              </w:rPr>
              <w:t>2,210.00</w:t>
            </w:r>
          </w:p>
        </w:tc>
        <w:tc>
          <w:tcPr>
            <w:tcW w:type="dxa" w:w="1680"/>
            <w:shd w:fill="FFFFFF"/>
          </w:tcPr>
          <w:p>
            <w:pPr>
              <w:jc w:val="right"/>
            </w:pPr>
            <w:r>
              <w:rPr>
                <w:sz w:val="16"/>
              </w:rPr>
              <w:t>+28.5%</w:t>
            </w:r>
          </w:p>
        </w:tc>
        <w:tc>
          <w:tcPr>
            <w:tcW w:type="dxa" w:w="1680"/>
            <w:shd w:fill="FED7D7"/>
          </w:tcPr>
          <w:p>
            <w:pPr>
              <w:jc w:val="center"/>
            </w:pPr>
            <w:r>
              <w:rPr>
                <w:b/>
                <w:sz w:val="16"/>
              </w:rPr>
              <w:t>High</w:t>
            </w:r>
          </w:p>
        </w:tc>
      </w:tr>
      <w:tr>
        <w:tc>
          <w:tcPr>
            <w:tcW w:type="dxa" w:w="1680"/>
            <w:shd w:fill="F7FAFC"/>
          </w:tcPr>
          <w:p>
            <w:r>
              <w:rPr>
                <w:sz w:val="16"/>
              </w:rPr>
              <w:t>Balance Sheet</w:t>
            </w:r>
          </w:p>
        </w:tc>
        <w:tc>
          <w:tcPr>
            <w:tcW w:type="dxa" w:w="1680"/>
            <w:shd w:fill="F7FAFC"/>
          </w:tcPr>
          <w:p>
            <w:r>
              <w:rPr>
                <w:b/>
                <w:sz w:val="16"/>
              </w:rPr>
              <w:t>Long-Term Borrowings (Term Loans)</w:t>
            </w:r>
          </w:p>
        </w:tc>
        <w:tc>
          <w:tcPr>
            <w:tcW w:type="dxa" w:w="1680"/>
            <w:shd w:fill="F7FAFC"/>
          </w:tcPr>
          <w:p>
            <w:pPr>
              <w:jc w:val="right"/>
            </w:pPr>
            <w:r>
              <w:rPr>
                <w:sz w:val="16"/>
              </w:rPr>
              <w:t>1,650.00</w:t>
            </w:r>
          </w:p>
        </w:tc>
        <w:tc>
          <w:tcPr>
            <w:tcW w:type="dxa" w:w="1680"/>
            <w:shd w:fill="F7FAFC"/>
          </w:tcPr>
          <w:p>
            <w:pPr>
              <w:jc w:val="right"/>
            </w:pPr>
            <w:r>
              <w:rPr>
                <w:sz w:val="16"/>
              </w:rPr>
              <w:t>2,100.00</w:t>
            </w:r>
          </w:p>
        </w:tc>
        <w:tc>
          <w:tcPr>
            <w:tcW w:type="dxa" w:w="1680"/>
            <w:shd w:fill="F7FAFC"/>
          </w:tcPr>
          <w:p>
            <w:pPr>
              <w:jc w:val="right"/>
            </w:pPr>
            <w:r>
              <w:rPr>
                <w:sz w:val="16"/>
              </w:rPr>
              <w:t>+27.3%</w:t>
            </w:r>
          </w:p>
        </w:tc>
        <w:tc>
          <w:tcPr>
            <w:tcW w:type="dxa" w:w="1680"/>
            <w:shd w:fill="FED7D7"/>
          </w:tcPr>
          <w:p>
            <w:pPr>
              <w:jc w:val="center"/>
            </w:pPr>
            <w:r>
              <w:rPr>
                <w:b/>
                <w:sz w:val="16"/>
              </w:rPr>
              <w:t>High</w:t>
            </w:r>
          </w:p>
        </w:tc>
      </w:tr>
      <w:tr>
        <w:tc>
          <w:tcPr>
            <w:tcW w:type="dxa" w:w="1680"/>
            <w:shd w:fill="FFFFFF"/>
          </w:tcPr>
          <w:p>
            <w:r>
              <w:rPr>
                <w:sz w:val="16"/>
              </w:rPr>
              <w:t>Profit &amp; Loss</w:t>
            </w:r>
          </w:p>
        </w:tc>
        <w:tc>
          <w:tcPr>
            <w:tcW w:type="dxa" w:w="1680"/>
            <w:shd w:fill="FFFFFF"/>
          </w:tcPr>
          <w:p>
            <w:r>
              <w:rPr>
                <w:b/>
                <w:sz w:val="16"/>
              </w:rPr>
              <w:t>Employee Benefits Expense</w:t>
            </w:r>
          </w:p>
        </w:tc>
        <w:tc>
          <w:tcPr>
            <w:tcW w:type="dxa" w:w="1680"/>
            <w:shd w:fill="FFFFFF"/>
          </w:tcPr>
          <w:p>
            <w:pPr>
              <w:jc w:val="right"/>
            </w:pPr>
            <w:r>
              <w:rPr>
                <w:sz w:val="16"/>
              </w:rPr>
              <w:t>1,550.00</w:t>
            </w:r>
          </w:p>
        </w:tc>
        <w:tc>
          <w:tcPr>
            <w:tcW w:type="dxa" w:w="1680"/>
            <w:shd w:fill="FFFFFF"/>
          </w:tcPr>
          <w:p>
            <w:pPr>
              <w:jc w:val="right"/>
            </w:pPr>
            <w:r>
              <w:rPr>
                <w:sz w:val="16"/>
              </w:rPr>
              <w:t>1,850.00</w:t>
            </w:r>
          </w:p>
        </w:tc>
        <w:tc>
          <w:tcPr>
            <w:tcW w:type="dxa" w:w="1680"/>
            <w:shd w:fill="FFFFFF"/>
          </w:tcPr>
          <w:p>
            <w:pPr>
              <w:jc w:val="right"/>
            </w:pPr>
            <w:r>
              <w:rPr>
                <w:sz w:val="16"/>
              </w:rPr>
              <w:t>+19.4%</w:t>
            </w:r>
          </w:p>
        </w:tc>
        <w:tc>
          <w:tcPr>
            <w:tcW w:type="dxa" w:w="1680"/>
          </w:tcPr>
          <w:p>
            <w:pPr>
              <w:jc w:val="center"/>
            </w:pPr>
            <w:r>
              <w:rPr>
                <w:b/>
                <w:sz w:val="16"/>
              </w:rPr>
              <w:t>Medium</w:t>
            </w:r>
          </w:p>
        </w:tc>
      </w:tr>
      <w:tr>
        <w:tc>
          <w:tcPr>
            <w:tcW w:type="dxa" w:w="1680"/>
            <w:shd w:fill="F7FAFC"/>
          </w:tcPr>
          <w:p>
            <w:r>
              <w:rPr>
                <w:sz w:val="16"/>
              </w:rPr>
              <w:t>Balance Sheet</w:t>
            </w:r>
          </w:p>
        </w:tc>
        <w:tc>
          <w:tcPr>
            <w:tcW w:type="dxa" w:w="1680"/>
            <w:shd w:fill="F7FAFC"/>
          </w:tcPr>
          <w:p>
            <w:r>
              <w:rPr>
                <w:b/>
                <w:sz w:val="16"/>
              </w:rPr>
              <w:t>Trade Payables</w:t>
            </w:r>
          </w:p>
        </w:tc>
        <w:tc>
          <w:tcPr>
            <w:tcW w:type="dxa" w:w="1680"/>
            <w:shd w:fill="F7FAFC"/>
          </w:tcPr>
          <w:p>
            <w:pPr>
              <w:jc w:val="right"/>
            </w:pPr>
            <w:r>
              <w:rPr>
                <w:sz w:val="16"/>
              </w:rPr>
              <w:t>1,150.00</w:t>
            </w:r>
          </w:p>
        </w:tc>
        <w:tc>
          <w:tcPr>
            <w:tcW w:type="dxa" w:w="1680"/>
            <w:shd w:fill="F7FAFC"/>
          </w:tcPr>
          <w:p>
            <w:pPr>
              <w:jc w:val="right"/>
            </w:pPr>
            <w:r>
              <w:rPr>
                <w:sz w:val="16"/>
              </w:rPr>
              <w:t>1,420.00</w:t>
            </w:r>
          </w:p>
        </w:tc>
        <w:tc>
          <w:tcPr>
            <w:tcW w:type="dxa" w:w="1680"/>
            <w:shd w:fill="F7FAFC"/>
          </w:tcPr>
          <w:p>
            <w:pPr>
              <w:jc w:val="right"/>
            </w:pPr>
            <w:r>
              <w:rPr>
                <w:sz w:val="16"/>
              </w:rPr>
              <w:t>+23.5%</w:t>
            </w:r>
          </w:p>
        </w:tc>
        <w:tc>
          <w:tcPr>
            <w:tcW w:type="dxa" w:w="1680"/>
          </w:tcPr>
          <w:p>
            <w:pPr>
              <w:jc w:val="center"/>
            </w:pPr>
            <w:r>
              <w:rPr>
                <w:b/>
                <w:sz w:val="16"/>
              </w:rPr>
              <w:t>Medium</w:t>
            </w:r>
          </w:p>
        </w:tc>
      </w:tr>
      <w:tr>
        <w:tc>
          <w:tcPr>
            <w:tcW w:type="dxa" w:w="1680"/>
            <w:shd w:fill="FFFFFF"/>
          </w:tcPr>
          <w:p>
            <w:r>
              <w:rPr>
                <w:sz w:val="16"/>
              </w:rPr>
              <w:t>Cash Flow Statement</w:t>
            </w:r>
          </w:p>
        </w:tc>
        <w:tc>
          <w:tcPr>
            <w:tcW w:type="dxa" w:w="1680"/>
            <w:shd w:fill="FFFFFF"/>
          </w:tcPr>
          <w:p>
            <w:r>
              <w:rPr>
                <w:b/>
                <w:sz w:val="16"/>
              </w:rPr>
              <w:t>B. Cash Flow from / (used in) Investing Activities</w:t>
            </w:r>
          </w:p>
        </w:tc>
        <w:tc>
          <w:tcPr>
            <w:tcW w:type="dxa" w:w="1680"/>
            <w:shd w:fill="FFFFFF"/>
          </w:tcPr>
          <w:p>
            <w:pPr>
              <w:jc w:val="right"/>
            </w:pPr>
            <w:r>
              <w:rPr>
                <w:sz w:val="16"/>
              </w:rPr>
              <w:t>-780.00</w:t>
            </w:r>
          </w:p>
        </w:tc>
        <w:tc>
          <w:tcPr>
            <w:tcW w:type="dxa" w:w="1680"/>
            <w:shd w:fill="FFFFFF"/>
          </w:tcPr>
          <w:p>
            <w:pPr>
              <w:jc w:val="right"/>
            </w:pPr>
            <w:r>
              <w:rPr>
                <w:sz w:val="16"/>
              </w:rPr>
              <w:t>-1,040.00</w:t>
            </w:r>
          </w:p>
        </w:tc>
        <w:tc>
          <w:tcPr>
            <w:tcW w:type="dxa" w:w="1680"/>
            <w:shd w:fill="FFFFFF"/>
          </w:tcPr>
          <w:p>
            <w:pPr>
              <w:jc w:val="right"/>
            </w:pPr>
            <w:r>
              <w:rPr>
                <w:sz w:val="16"/>
              </w:rPr>
              <w:t>-33.3%</w:t>
            </w:r>
          </w:p>
        </w:tc>
        <w:tc>
          <w:tcPr>
            <w:tcW w:type="dxa" w:w="1680"/>
          </w:tcPr>
          <w:p>
            <w:pPr>
              <w:jc w:val="center"/>
            </w:pPr>
            <w:r>
              <w:rPr>
                <w:b/>
                <w:sz w:val="16"/>
              </w:rPr>
              <w:t>Low</w:t>
            </w:r>
          </w:p>
        </w:tc>
      </w:tr>
      <w:tr>
        <w:tc>
          <w:tcPr>
            <w:tcW w:type="dxa" w:w="1680"/>
            <w:shd w:fill="F7FAFC"/>
          </w:tcPr>
          <w:p>
            <w:r>
              <w:rPr>
                <w:sz w:val="16"/>
              </w:rPr>
              <w:t>Balance Sheet</w:t>
            </w:r>
          </w:p>
        </w:tc>
        <w:tc>
          <w:tcPr>
            <w:tcW w:type="dxa" w:w="1680"/>
            <w:shd w:fill="F7FAFC"/>
          </w:tcPr>
          <w:p>
            <w:r>
              <w:rPr>
                <w:b/>
                <w:sz w:val="16"/>
              </w:rPr>
              <w:t>Capital Work-in-Progress (CWIP)</w:t>
            </w:r>
          </w:p>
        </w:tc>
        <w:tc>
          <w:tcPr>
            <w:tcW w:type="dxa" w:w="1680"/>
            <w:shd w:fill="F7FAFC"/>
          </w:tcPr>
          <w:p>
            <w:pPr>
              <w:jc w:val="right"/>
            </w:pPr>
            <w:r>
              <w:rPr>
                <w:sz w:val="16"/>
              </w:rPr>
              <w:t>210.00</w:t>
            </w:r>
          </w:p>
        </w:tc>
        <w:tc>
          <w:tcPr>
            <w:tcW w:type="dxa" w:w="1680"/>
            <w:shd w:fill="F7FAFC"/>
          </w:tcPr>
          <w:p>
            <w:pPr>
              <w:jc w:val="right"/>
            </w:pPr>
            <w:r>
              <w:rPr>
                <w:sz w:val="16"/>
              </w:rPr>
              <w:t>450.00</w:t>
            </w:r>
          </w:p>
        </w:tc>
        <w:tc>
          <w:tcPr>
            <w:tcW w:type="dxa" w:w="1680"/>
            <w:shd w:fill="F7FAFC"/>
          </w:tcPr>
          <w:p>
            <w:pPr>
              <w:jc w:val="right"/>
            </w:pPr>
            <w:r>
              <w:rPr>
                <w:sz w:val="16"/>
              </w:rPr>
              <w:t>+114.3%</w:t>
            </w:r>
          </w:p>
        </w:tc>
        <w:tc>
          <w:tcPr>
            <w:tcW w:type="dxa" w:w="1680"/>
          </w:tcPr>
          <w:p>
            <w:pPr>
              <w:jc w:val="center"/>
            </w:pPr>
            <w:r>
              <w:rPr>
                <w:b/>
                <w:sz w:val="16"/>
              </w:rPr>
              <w:t>Low</w:t>
            </w:r>
          </w:p>
        </w:tc>
      </w:tr>
      <w:tr>
        <w:tc>
          <w:tcPr>
            <w:tcW w:type="dxa" w:w="1680"/>
            <w:shd w:fill="FFFFFF"/>
          </w:tcPr>
          <w:p>
            <w:r>
              <w:rPr>
                <w:sz w:val="16"/>
              </w:rPr>
              <w:t>Profit &amp; Loss</w:t>
            </w:r>
          </w:p>
        </w:tc>
        <w:tc>
          <w:tcPr>
            <w:tcW w:type="dxa" w:w="1680"/>
            <w:shd w:fill="FFFFFF"/>
          </w:tcPr>
          <w:p>
            <w:r>
              <w:rPr>
                <w:b/>
                <w:sz w:val="16"/>
              </w:rPr>
              <w:t>Other Operating Expenses</w:t>
            </w:r>
          </w:p>
        </w:tc>
        <w:tc>
          <w:tcPr>
            <w:tcW w:type="dxa" w:w="1680"/>
            <w:shd w:fill="FFFFFF"/>
          </w:tcPr>
          <w:p>
            <w:pPr>
              <w:jc w:val="right"/>
            </w:pPr>
            <w:r>
              <w:rPr>
                <w:sz w:val="16"/>
              </w:rPr>
              <w:t>1,280.00</w:t>
            </w:r>
          </w:p>
        </w:tc>
        <w:tc>
          <w:tcPr>
            <w:tcW w:type="dxa" w:w="1680"/>
            <w:shd w:fill="FFFFFF"/>
          </w:tcPr>
          <w:p>
            <w:pPr>
              <w:jc w:val="right"/>
            </w:pPr>
            <w:r>
              <w:rPr>
                <w:sz w:val="16"/>
              </w:rPr>
              <w:t>1,520.00</w:t>
            </w:r>
          </w:p>
        </w:tc>
        <w:tc>
          <w:tcPr>
            <w:tcW w:type="dxa" w:w="1680"/>
            <w:shd w:fill="FFFFFF"/>
          </w:tcPr>
          <w:p>
            <w:pPr>
              <w:jc w:val="right"/>
            </w:pPr>
            <w:r>
              <w:rPr>
                <w:sz w:val="16"/>
              </w:rPr>
              <w:t>+18.8%</w:t>
            </w:r>
          </w:p>
        </w:tc>
        <w:tc>
          <w:tcPr>
            <w:tcW w:type="dxa" w:w="1680"/>
          </w:tcPr>
          <w:p>
            <w:pPr>
              <w:jc w:val="center"/>
            </w:pPr>
            <w:r>
              <w:rPr>
                <w:b/>
                <w:sz w:val="16"/>
              </w:rPr>
              <w:t>Medium</w:t>
            </w:r>
          </w:p>
        </w:tc>
      </w:tr>
      <w:tr>
        <w:tc>
          <w:tcPr>
            <w:tcW w:type="dxa" w:w="1680"/>
            <w:shd w:fill="F7FAFC"/>
          </w:tcPr>
          <w:p>
            <w:r>
              <w:rPr>
                <w:sz w:val="16"/>
              </w:rPr>
              <w:t>Profit &amp; Loss</w:t>
            </w:r>
          </w:p>
        </w:tc>
        <w:tc>
          <w:tcPr>
            <w:tcW w:type="dxa" w:w="1680"/>
            <w:shd w:fill="F7FAFC"/>
          </w:tcPr>
          <w:p>
            <w:r>
              <w:rPr>
                <w:b/>
                <w:sz w:val="16"/>
              </w:rPr>
              <w:t>PROFIT BEFORE EXCEPTIONAL ITEMS &amp; TAX</w:t>
            </w:r>
          </w:p>
        </w:tc>
        <w:tc>
          <w:tcPr>
            <w:tcW w:type="dxa" w:w="1680"/>
            <w:shd w:fill="F7FAFC"/>
          </w:tcPr>
          <w:p>
            <w:pPr>
              <w:jc w:val="right"/>
            </w:pPr>
            <w:r>
              <w:rPr>
                <w:sz w:val="16"/>
              </w:rPr>
              <w:t>1,260.00</w:t>
            </w:r>
          </w:p>
        </w:tc>
        <w:tc>
          <w:tcPr>
            <w:tcW w:type="dxa" w:w="1680"/>
            <w:shd w:fill="F7FAFC"/>
          </w:tcPr>
          <w:p>
            <w:pPr>
              <w:jc w:val="right"/>
            </w:pPr>
            <w:r>
              <w:rPr>
                <w:sz w:val="16"/>
              </w:rPr>
              <w:t>1,430.00</w:t>
            </w:r>
          </w:p>
        </w:tc>
        <w:tc>
          <w:tcPr>
            <w:tcW w:type="dxa" w:w="1680"/>
            <w:shd w:fill="F7FAFC"/>
          </w:tcPr>
          <w:p>
            <w:pPr>
              <w:jc w:val="right"/>
            </w:pPr>
            <w:r>
              <w:rPr>
                <w:sz w:val="16"/>
              </w:rPr>
              <w:t>+13.5%</w:t>
            </w:r>
          </w:p>
        </w:tc>
        <w:tc>
          <w:tcPr>
            <w:tcW w:type="dxa" w:w="1680"/>
          </w:tcPr>
          <w:p>
            <w:pPr>
              <w:jc w:val="center"/>
            </w:pPr>
            <w:r>
              <w:rPr>
                <w:b/>
                <w:sz w:val="16"/>
              </w:rPr>
              <w:t>Low</w:t>
            </w:r>
          </w:p>
        </w:tc>
      </w:tr>
      <w:tr>
        <w:tc>
          <w:tcPr>
            <w:tcW w:type="dxa" w:w="1680"/>
            <w:shd w:fill="FFFFFF"/>
          </w:tcPr>
          <w:p>
            <w:r>
              <w:rPr>
                <w:sz w:val="16"/>
              </w:rPr>
              <w:t>Profit &amp; Loss</w:t>
            </w:r>
          </w:p>
        </w:tc>
        <w:tc>
          <w:tcPr>
            <w:tcW w:type="dxa" w:w="1680"/>
            <w:shd w:fill="FFFFFF"/>
          </w:tcPr>
          <w:p>
            <w:r>
              <w:rPr>
                <w:b/>
                <w:sz w:val="16"/>
              </w:rPr>
              <w:t>Finance Costs (Interest Expense)</w:t>
            </w:r>
          </w:p>
        </w:tc>
        <w:tc>
          <w:tcPr>
            <w:tcW w:type="dxa" w:w="1680"/>
            <w:shd w:fill="FFFFFF"/>
          </w:tcPr>
          <w:p>
            <w:pPr>
              <w:jc w:val="right"/>
            </w:pPr>
            <w:r>
              <w:rPr>
                <w:sz w:val="16"/>
              </w:rPr>
              <w:t>280.00</w:t>
            </w:r>
          </w:p>
        </w:tc>
        <w:tc>
          <w:tcPr>
            <w:tcW w:type="dxa" w:w="1680"/>
            <w:shd w:fill="FFFFFF"/>
          </w:tcPr>
          <w:p>
            <w:pPr>
              <w:jc w:val="right"/>
            </w:pPr>
            <w:r>
              <w:rPr>
                <w:sz w:val="16"/>
              </w:rPr>
              <w:t>420.00</w:t>
            </w:r>
          </w:p>
        </w:tc>
        <w:tc>
          <w:tcPr>
            <w:tcW w:type="dxa" w:w="1680"/>
            <w:shd w:fill="FFFFFF"/>
          </w:tcPr>
          <w:p>
            <w:pPr>
              <w:jc w:val="right"/>
            </w:pPr>
            <w:r>
              <w:rPr>
                <w:sz w:val="16"/>
              </w:rPr>
              <w:t>+50.0%</w:t>
            </w:r>
          </w:p>
        </w:tc>
        <w:tc>
          <w:tcPr>
            <w:tcW w:type="dxa" w:w="1680"/>
          </w:tcPr>
          <w:p>
            <w:pPr>
              <w:jc w:val="center"/>
            </w:pPr>
            <w:r>
              <w:rPr>
                <w:b/>
                <w:sz w:val="16"/>
              </w:rPr>
              <w:t>Low</w:t>
            </w:r>
          </w:p>
        </w:tc>
      </w:tr>
      <w:tr>
        <w:tc>
          <w:tcPr>
            <w:tcW w:type="dxa" w:w="1680"/>
            <w:shd w:fill="F7FAFC"/>
          </w:tcPr>
          <w:p>
            <w:r>
              <w:rPr>
                <w:sz w:val="16"/>
              </w:rPr>
              <w:t>Cash Flow Statement</w:t>
            </w:r>
          </w:p>
        </w:tc>
        <w:tc>
          <w:tcPr>
            <w:tcW w:type="dxa" w:w="1680"/>
            <w:shd w:fill="F7FAFC"/>
          </w:tcPr>
          <w:p>
            <w:r>
              <w:rPr>
                <w:b/>
                <w:sz w:val="16"/>
              </w:rPr>
              <w:t>A. Cash Flow from Operating Activities</w:t>
            </w:r>
          </w:p>
        </w:tc>
        <w:tc>
          <w:tcPr>
            <w:tcW w:type="dxa" w:w="1680"/>
            <w:shd w:fill="F7FAFC"/>
          </w:tcPr>
          <w:p>
            <w:pPr>
              <w:jc w:val="right"/>
            </w:pPr>
            <w:r>
              <w:rPr>
                <w:sz w:val="16"/>
              </w:rPr>
              <w:t>980.00</w:t>
            </w:r>
          </w:p>
        </w:tc>
        <w:tc>
          <w:tcPr>
            <w:tcW w:type="dxa" w:w="1680"/>
            <w:shd w:fill="F7FAFC"/>
          </w:tcPr>
          <w:p>
            <w:pPr>
              <w:jc w:val="right"/>
            </w:pPr>
            <w:r>
              <w:rPr>
                <w:sz w:val="16"/>
              </w:rPr>
              <w:t>1,120.00</w:t>
            </w:r>
          </w:p>
        </w:tc>
        <w:tc>
          <w:tcPr>
            <w:tcW w:type="dxa" w:w="1680"/>
            <w:shd w:fill="F7FAFC"/>
          </w:tcPr>
          <w:p>
            <w:pPr>
              <w:jc w:val="right"/>
            </w:pPr>
            <w:r>
              <w:rPr>
                <w:sz w:val="16"/>
              </w:rPr>
              <w:t>+14.3%</w:t>
            </w:r>
          </w:p>
        </w:tc>
        <w:tc>
          <w:tcPr>
            <w:tcW w:type="dxa" w:w="1680"/>
          </w:tcPr>
          <w:p>
            <w:pPr>
              <w:jc w:val="center"/>
            </w:pPr>
            <w:r>
              <w:rPr>
                <w:b/>
                <w:sz w:val="16"/>
              </w:rPr>
              <w:t>Low</w:t>
            </w:r>
          </w:p>
        </w:tc>
      </w:tr>
      <w:tr>
        <w:tc>
          <w:tcPr>
            <w:tcW w:type="dxa" w:w="1680"/>
            <w:shd w:fill="FFFFFF"/>
          </w:tcPr>
          <w:p>
            <w:r>
              <w:rPr>
                <w:sz w:val="16"/>
              </w:rPr>
              <w:t>Profit &amp; Loss</w:t>
            </w:r>
          </w:p>
        </w:tc>
        <w:tc>
          <w:tcPr>
            <w:tcW w:type="dxa" w:w="1680"/>
            <w:shd w:fill="FFFFFF"/>
          </w:tcPr>
          <w:p>
            <w:r>
              <w:rPr>
                <w:b/>
                <w:sz w:val="16"/>
              </w:rPr>
              <w:t>PROFIT FOR THE PERIOD (PAT)</w:t>
            </w:r>
          </w:p>
        </w:tc>
        <w:tc>
          <w:tcPr>
            <w:tcW w:type="dxa" w:w="1680"/>
            <w:shd w:fill="FFFFFF"/>
          </w:tcPr>
          <w:p>
            <w:pPr>
              <w:jc w:val="right"/>
            </w:pPr>
            <w:r>
              <w:rPr>
                <w:sz w:val="16"/>
              </w:rPr>
              <w:t>945.00</w:t>
            </w:r>
          </w:p>
        </w:tc>
        <w:tc>
          <w:tcPr>
            <w:tcW w:type="dxa" w:w="1680"/>
            <w:shd w:fill="FFFFFF"/>
          </w:tcPr>
          <w:p>
            <w:pPr>
              <w:jc w:val="right"/>
            </w:pPr>
            <w:r>
              <w:rPr>
                <w:sz w:val="16"/>
              </w:rPr>
              <w:t>1,070.00</w:t>
            </w:r>
          </w:p>
        </w:tc>
        <w:tc>
          <w:tcPr>
            <w:tcW w:type="dxa" w:w="1680"/>
            <w:shd w:fill="FFFFFF"/>
          </w:tcPr>
          <w:p>
            <w:pPr>
              <w:jc w:val="right"/>
            </w:pPr>
            <w:r>
              <w:rPr>
                <w:sz w:val="16"/>
              </w:rPr>
              <w:t>+13.2%</w:t>
            </w:r>
          </w:p>
        </w:tc>
        <w:tc>
          <w:tcPr>
            <w:tcW w:type="dxa" w:w="1680"/>
          </w:tcPr>
          <w:p>
            <w:pPr>
              <w:jc w:val="center"/>
            </w:pPr>
            <w:r>
              <w:rPr>
                <w:b/>
                <w:sz w:val="16"/>
              </w:rPr>
              <w:t>Low</w:t>
            </w:r>
          </w:p>
        </w:tc>
      </w:tr>
      <w:tr>
        <w:tc>
          <w:tcPr>
            <w:tcW w:type="dxa" w:w="1680"/>
            <w:shd w:fill="F7FAFC"/>
          </w:tcPr>
          <w:p>
            <w:r>
              <w:rPr>
                <w:sz w:val="16"/>
              </w:rPr>
              <w:t>Profit &amp; Loss</w:t>
            </w:r>
          </w:p>
        </w:tc>
        <w:tc>
          <w:tcPr>
            <w:tcW w:type="dxa" w:w="1680"/>
            <w:shd w:fill="F7FAFC"/>
          </w:tcPr>
          <w:p>
            <w:r>
              <w:rPr>
                <w:b/>
                <w:sz w:val="16"/>
              </w:rPr>
              <w:t>Power and Fuel Expenses</w:t>
            </w:r>
          </w:p>
        </w:tc>
        <w:tc>
          <w:tcPr>
            <w:tcW w:type="dxa" w:w="1680"/>
            <w:shd w:fill="F7FAFC"/>
          </w:tcPr>
          <w:p>
            <w:pPr>
              <w:jc w:val="right"/>
            </w:pPr>
            <w:r>
              <w:rPr>
                <w:sz w:val="16"/>
              </w:rPr>
              <w:t>520.00</w:t>
            </w:r>
          </w:p>
        </w:tc>
        <w:tc>
          <w:tcPr>
            <w:tcW w:type="dxa" w:w="1680"/>
            <w:shd w:fill="F7FAFC"/>
          </w:tcPr>
          <w:p>
            <w:pPr>
              <w:jc w:val="right"/>
            </w:pPr>
            <w:r>
              <w:rPr>
                <w:sz w:val="16"/>
              </w:rPr>
              <w:t>640.00</w:t>
            </w:r>
          </w:p>
        </w:tc>
        <w:tc>
          <w:tcPr>
            <w:tcW w:type="dxa" w:w="1680"/>
            <w:shd w:fill="F7FAFC"/>
          </w:tcPr>
          <w:p>
            <w:pPr>
              <w:jc w:val="right"/>
            </w:pPr>
            <w:r>
              <w:rPr>
                <w:sz w:val="16"/>
              </w:rPr>
              <w:t>+23.1%</w:t>
            </w:r>
          </w:p>
        </w:tc>
        <w:tc>
          <w:tcPr>
            <w:tcW w:type="dxa" w:w="1680"/>
          </w:tcPr>
          <w:p>
            <w:pPr>
              <w:jc w:val="center"/>
            </w:pPr>
            <w:r>
              <w:rPr>
                <w:b/>
                <w:sz w:val="16"/>
              </w:rPr>
              <w:t>Low</w:t>
            </w:r>
          </w:p>
        </w:tc>
      </w:tr>
      <w:tr>
        <w:tc>
          <w:tcPr>
            <w:tcW w:type="dxa" w:w="1680"/>
            <w:shd w:fill="FFFFFF"/>
          </w:tcPr>
          <w:p>
            <w:r>
              <w:rPr>
                <w:sz w:val="16"/>
              </w:rPr>
              <w:t>Balance Sheet</w:t>
            </w:r>
          </w:p>
        </w:tc>
        <w:tc>
          <w:tcPr>
            <w:tcW w:type="dxa" w:w="1680"/>
            <w:shd w:fill="FFFFFF"/>
          </w:tcPr>
          <w:p>
            <w:r>
              <w:rPr>
                <w:b/>
                <w:sz w:val="16"/>
              </w:rPr>
              <w:t>Other Current Liabilities &amp; Provisions</w:t>
            </w:r>
          </w:p>
        </w:tc>
        <w:tc>
          <w:tcPr>
            <w:tcW w:type="dxa" w:w="1680"/>
            <w:shd w:fill="FFFFFF"/>
          </w:tcPr>
          <w:p>
            <w:pPr>
              <w:jc w:val="right"/>
            </w:pPr>
            <w:r>
              <w:rPr>
                <w:sz w:val="16"/>
              </w:rPr>
              <w:t>380.00</w:t>
            </w:r>
          </w:p>
        </w:tc>
        <w:tc>
          <w:tcPr>
            <w:tcW w:type="dxa" w:w="1680"/>
            <w:shd w:fill="FFFFFF"/>
          </w:tcPr>
          <w:p>
            <w:pPr>
              <w:jc w:val="right"/>
            </w:pPr>
            <w:r>
              <w:rPr>
                <w:sz w:val="16"/>
              </w:rPr>
              <w:t>460.00</w:t>
            </w:r>
          </w:p>
        </w:tc>
        <w:tc>
          <w:tcPr>
            <w:tcW w:type="dxa" w:w="1680"/>
            <w:shd w:fill="FFFFFF"/>
          </w:tcPr>
          <w:p>
            <w:pPr>
              <w:jc w:val="right"/>
            </w:pPr>
            <w:r>
              <w:rPr>
                <w:sz w:val="16"/>
              </w:rPr>
              <w:t>+21.1%</w:t>
            </w:r>
          </w:p>
        </w:tc>
        <w:tc>
          <w:tcPr>
            <w:tcW w:type="dxa" w:w="1680"/>
          </w:tcPr>
          <w:p>
            <w:pPr>
              <w:jc w:val="center"/>
            </w:pPr>
            <w:r>
              <w:rPr>
                <w:b/>
                <w:sz w:val="16"/>
              </w:rPr>
              <w:t>Low</w:t>
            </w:r>
          </w:p>
        </w:tc>
      </w:tr>
      <w:tr>
        <w:tc>
          <w:tcPr>
            <w:tcW w:type="dxa" w:w="1680"/>
            <w:shd w:fill="F7FAFC"/>
          </w:tcPr>
          <w:p>
            <w:r>
              <w:rPr>
                <w:sz w:val="16"/>
              </w:rPr>
              <w:t>Profit &amp; Loss</w:t>
            </w:r>
          </w:p>
        </w:tc>
        <w:tc>
          <w:tcPr>
            <w:tcW w:type="dxa" w:w="1680"/>
            <w:shd w:fill="F7FAFC"/>
          </w:tcPr>
          <w:p>
            <w:r>
              <w:rPr>
                <w:b/>
                <w:sz w:val="16"/>
              </w:rPr>
              <w:t>Freight &amp; Transportation Outward</w:t>
            </w:r>
          </w:p>
        </w:tc>
        <w:tc>
          <w:tcPr>
            <w:tcW w:type="dxa" w:w="1680"/>
            <w:shd w:fill="F7FAFC"/>
          </w:tcPr>
          <w:p>
            <w:pPr>
              <w:jc w:val="right"/>
            </w:pPr>
            <w:r>
              <w:rPr>
                <w:sz w:val="16"/>
              </w:rPr>
              <w:t>310.00</w:t>
            </w:r>
          </w:p>
        </w:tc>
        <w:tc>
          <w:tcPr>
            <w:tcW w:type="dxa" w:w="1680"/>
            <w:shd w:fill="F7FAFC"/>
          </w:tcPr>
          <w:p>
            <w:pPr>
              <w:jc w:val="right"/>
            </w:pPr>
            <w:r>
              <w:rPr>
                <w:sz w:val="16"/>
              </w:rPr>
              <w:t>390.00</w:t>
            </w:r>
          </w:p>
        </w:tc>
        <w:tc>
          <w:tcPr>
            <w:tcW w:type="dxa" w:w="1680"/>
            <w:shd w:fill="F7FAFC"/>
          </w:tcPr>
          <w:p>
            <w:pPr>
              <w:jc w:val="right"/>
            </w:pPr>
            <w:r>
              <w:rPr>
                <w:sz w:val="16"/>
              </w:rPr>
              <w:t>+25.8%</w:t>
            </w:r>
          </w:p>
        </w:tc>
        <w:tc>
          <w:tcPr>
            <w:tcW w:type="dxa" w:w="1680"/>
          </w:tcPr>
          <w:p>
            <w:pPr>
              <w:jc w:val="center"/>
            </w:pPr>
            <w:r>
              <w:rPr>
                <w:b/>
                <w:sz w:val="16"/>
              </w:rPr>
              <w:t>Low</w:t>
            </w:r>
          </w:p>
        </w:tc>
      </w:tr>
      <w:tr>
        <w:tc>
          <w:tcPr>
            <w:tcW w:type="dxa" w:w="1680"/>
            <w:shd w:fill="FFFFFF"/>
          </w:tcPr>
          <w:p>
            <w:r>
              <w:rPr>
                <w:sz w:val="16"/>
              </w:rPr>
              <w:t>Profit &amp; Loss</w:t>
            </w:r>
          </w:p>
        </w:tc>
        <w:tc>
          <w:tcPr>
            <w:tcW w:type="dxa" w:w="1680"/>
            <w:shd w:fill="FFFFFF"/>
          </w:tcPr>
          <w:p>
            <w:r>
              <w:rPr>
                <w:b/>
                <w:sz w:val="16"/>
              </w:rPr>
              <w:t>Changes in Inventories of FG &amp; WIP</w:t>
            </w:r>
          </w:p>
        </w:tc>
        <w:tc>
          <w:tcPr>
            <w:tcW w:type="dxa" w:w="1680"/>
            <w:shd w:fill="FFFFFF"/>
          </w:tcPr>
          <w:p>
            <w:pPr>
              <w:jc w:val="right"/>
            </w:pPr>
            <w:r>
              <w:rPr>
                <w:sz w:val="16"/>
              </w:rPr>
              <w:t>-180.00</w:t>
            </w:r>
          </w:p>
        </w:tc>
        <w:tc>
          <w:tcPr>
            <w:tcW w:type="dxa" w:w="1680"/>
            <w:shd w:fill="FFFFFF"/>
          </w:tcPr>
          <w:p>
            <w:pPr>
              <w:jc w:val="right"/>
            </w:pPr>
            <w:r>
              <w:rPr>
                <w:sz w:val="16"/>
              </w:rPr>
              <w:t>-250.00</w:t>
            </w:r>
          </w:p>
        </w:tc>
        <w:tc>
          <w:tcPr>
            <w:tcW w:type="dxa" w:w="1680"/>
            <w:shd w:fill="FFFFFF"/>
          </w:tcPr>
          <w:p>
            <w:pPr>
              <w:jc w:val="right"/>
            </w:pPr>
            <w:r>
              <w:rPr>
                <w:sz w:val="16"/>
              </w:rPr>
              <w:t>-38.9%</w:t>
            </w:r>
          </w:p>
        </w:tc>
        <w:tc>
          <w:tcPr>
            <w:tcW w:type="dxa" w:w="1680"/>
          </w:tcPr>
          <w:p>
            <w:pPr>
              <w:jc w:val="center"/>
            </w:pPr>
            <w:r>
              <w:rPr>
                <w:b/>
                <w:sz w:val="16"/>
              </w:rPr>
              <w:t>Low</w:t>
            </w:r>
          </w:p>
        </w:tc>
      </w:tr>
      <w:tr>
        <w:tc>
          <w:tcPr>
            <w:tcW w:type="dxa" w:w="1680"/>
            <w:shd w:fill="F7FAFC"/>
          </w:tcPr>
          <w:p>
            <w:r>
              <w:rPr>
                <w:sz w:val="16"/>
              </w:rPr>
              <w:t>Cash Flow Statement</w:t>
            </w:r>
          </w:p>
        </w:tc>
        <w:tc>
          <w:tcPr>
            <w:tcW w:type="dxa" w:w="1680"/>
            <w:shd w:fill="F7FAFC"/>
          </w:tcPr>
          <w:p>
            <w:r>
              <w:rPr>
                <w:b/>
                <w:sz w:val="16"/>
              </w:rPr>
              <w:t>Net Increase / (Decrease) in Cash and Cash Equivalents</w:t>
            </w:r>
          </w:p>
        </w:tc>
        <w:tc>
          <w:tcPr>
            <w:tcW w:type="dxa" w:w="1680"/>
            <w:shd w:fill="F7FAFC"/>
          </w:tcPr>
          <w:p>
            <w:pPr>
              <w:jc w:val="right"/>
            </w:pPr>
            <w:r>
              <w:rPr>
                <w:sz w:val="16"/>
              </w:rPr>
              <w:t>50.00</w:t>
            </w:r>
          </w:p>
        </w:tc>
        <w:tc>
          <w:tcPr>
            <w:tcW w:type="dxa" w:w="1680"/>
            <w:shd w:fill="F7FAFC"/>
          </w:tcPr>
          <w:p>
            <w:pPr>
              <w:jc w:val="right"/>
            </w:pPr>
            <w:r>
              <w:rPr>
                <w:sz w:val="16"/>
              </w:rPr>
              <w:t>-20.00</w:t>
            </w:r>
          </w:p>
        </w:tc>
        <w:tc>
          <w:tcPr>
            <w:tcW w:type="dxa" w:w="1680"/>
            <w:shd w:fill="F7FAFC"/>
          </w:tcPr>
          <w:p>
            <w:pPr>
              <w:jc w:val="right"/>
            </w:pPr>
            <w:r>
              <w:rPr>
                <w:sz w:val="16"/>
              </w:rPr>
              <w:t>-140.0%</w:t>
            </w:r>
          </w:p>
        </w:tc>
        <w:tc>
          <w:tcPr>
            <w:tcW w:type="dxa" w:w="1680"/>
          </w:tcPr>
          <w:p>
            <w:pPr>
              <w:jc w:val="center"/>
            </w:pPr>
            <w:r>
              <w:rPr>
                <w:b/>
                <w:sz w:val="16"/>
              </w:rPr>
              <w:t>Low</w:t>
            </w:r>
          </w:p>
        </w:tc>
      </w:tr>
      <w:tr>
        <w:tc>
          <w:tcPr>
            <w:tcW w:type="dxa" w:w="1680"/>
            <w:shd w:fill="FFFFFF"/>
          </w:tcPr>
          <w:p>
            <w:r>
              <w:rPr>
                <w:sz w:val="16"/>
              </w:rPr>
              <w:t>Balance Sheet</w:t>
            </w:r>
          </w:p>
        </w:tc>
        <w:tc>
          <w:tcPr>
            <w:tcW w:type="dxa" w:w="1680"/>
            <w:shd w:fill="FFFFFF"/>
          </w:tcPr>
          <w:p>
            <w:r>
              <w:rPr>
                <w:b/>
                <w:sz w:val="16"/>
              </w:rPr>
              <w:t>Other Non-Current Assets</w:t>
            </w:r>
          </w:p>
        </w:tc>
        <w:tc>
          <w:tcPr>
            <w:tcW w:type="dxa" w:w="1680"/>
            <w:shd w:fill="FFFFFF"/>
          </w:tcPr>
          <w:p>
            <w:pPr>
              <w:jc w:val="right"/>
            </w:pPr>
            <w:r>
              <w:rPr>
                <w:sz w:val="16"/>
              </w:rPr>
              <w:t>220.00</w:t>
            </w:r>
          </w:p>
        </w:tc>
        <w:tc>
          <w:tcPr>
            <w:tcW w:type="dxa" w:w="1680"/>
            <w:shd w:fill="FFFFFF"/>
          </w:tcPr>
          <w:p>
            <w:pPr>
              <w:jc w:val="right"/>
            </w:pPr>
            <w:r>
              <w:rPr>
                <w:sz w:val="16"/>
              </w:rPr>
              <w:t>280.50</w:t>
            </w:r>
          </w:p>
        </w:tc>
        <w:tc>
          <w:tcPr>
            <w:tcW w:type="dxa" w:w="1680"/>
            <w:shd w:fill="FFFFFF"/>
          </w:tcPr>
          <w:p>
            <w:pPr>
              <w:jc w:val="right"/>
            </w:pPr>
            <w:r>
              <w:rPr>
                <w:sz w:val="16"/>
              </w:rPr>
              <w:t>+27.5%</w:t>
            </w:r>
          </w:p>
        </w:tc>
        <w:tc>
          <w:tcPr>
            <w:tcW w:type="dxa" w:w="1680"/>
          </w:tcPr>
          <w:p>
            <w:pPr>
              <w:jc w:val="center"/>
            </w:pPr>
            <w:r>
              <w:rPr>
                <w:b/>
                <w:sz w:val="16"/>
              </w:rPr>
              <w:t>Low</w:t>
            </w:r>
          </w:p>
        </w:tc>
      </w:tr>
      <w:tr>
        <w:tc>
          <w:tcPr>
            <w:tcW w:type="dxa" w:w="1680"/>
            <w:shd w:fill="F7FAFC"/>
          </w:tcPr>
          <w:p>
            <w:r>
              <w:rPr>
                <w:sz w:val="16"/>
              </w:rPr>
              <w:t>Profit &amp; Loss</w:t>
            </w:r>
          </w:p>
        </w:tc>
        <w:tc>
          <w:tcPr>
            <w:tcW w:type="dxa" w:w="1680"/>
            <w:shd w:fill="F7FAFC"/>
          </w:tcPr>
          <w:p>
            <w:r>
              <w:rPr>
                <w:b/>
                <w:sz w:val="16"/>
              </w:rPr>
              <w:t>Depreciation and Amortisation Expense</w:t>
            </w:r>
          </w:p>
        </w:tc>
        <w:tc>
          <w:tcPr>
            <w:tcW w:type="dxa" w:w="1680"/>
            <w:shd w:fill="F7FAFC"/>
          </w:tcPr>
          <w:p>
            <w:pPr>
              <w:jc w:val="right"/>
            </w:pPr>
            <w:r>
              <w:rPr>
                <w:sz w:val="16"/>
              </w:rPr>
              <w:t>420.00</w:t>
            </w:r>
          </w:p>
        </w:tc>
        <w:tc>
          <w:tcPr>
            <w:tcW w:type="dxa" w:w="1680"/>
            <w:shd w:fill="F7FAFC"/>
          </w:tcPr>
          <w:p>
            <w:pPr>
              <w:jc w:val="right"/>
            </w:pPr>
            <w:r>
              <w:rPr>
                <w:sz w:val="16"/>
              </w:rPr>
              <w:t>480.00</w:t>
            </w:r>
          </w:p>
        </w:tc>
        <w:tc>
          <w:tcPr>
            <w:tcW w:type="dxa" w:w="1680"/>
            <w:shd w:fill="F7FAFC"/>
          </w:tcPr>
          <w:p>
            <w:pPr>
              <w:jc w:val="right"/>
            </w:pPr>
            <w:r>
              <w:rPr>
                <w:sz w:val="16"/>
              </w:rPr>
              <w:t>+14.3%</w:t>
            </w:r>
          </w:p>
        </w:tc>
        <w:tc>
          <w:tcPr>
            <w:tcW w:type="dxa" w:w="1680"/>
          </w:tcPr>
          <w:p>
            <w:pPr>
              <w:jc w:val="center"/>
            </w:pPr>
            <w:r>
              <w:rPr>
                <w:b/>
                <w:sz w:val="16"/>
              </w:rPr>
              <w:t>Low</w:t>
            </w:r>
          </w:p>
        </w:tc>
      </w:tr>
      <w:tr>
        <w:tc>
          <w:tcPr>
            <w:tcW w:type="dxa" w:w="1680"/>
            <w:shd w:fill="FFFFFF"/>
          </w:tcPr>
          <w:p>
            <w:r>
              <w:rPr>
                <w:sz w:val="16"/>
              </w:rPr>
              <w:t>Cash Flow Statement</w:t>
            </w:r>
          </w:p>
        </w:tc>
        <w:tc>
          <w:tcPr>
            <w:tcW w:type="dxa" w:w="1680"/>
            <w:shd w:fill="FFFFFF"/>
          </w:tcPr>
          <w:p>
            <w:r>
              <w:rPr>
                <w:b/>
                <w:sz w:val="16"/>
              </w:rPr>
              <w:t>C. Cash Flow from / (used in) Financing Activities</w:t>
            </w:r>
          </w:p>
        </w:tc>
        <w:tc>
          <w:tcPr>
            <w:tcW w:type="dxa" w:w="1680"/>
            <w:shd w:fill="FFFFFF"/>
          </w:tcPr>
          <w:p>
            <w:pPr>
              <w:jc w:val="right"/>
            </w:pPr>
            <w:r>
              <w:rPr>
                <w:sz w:val="16"/>
              </w:rPr>
              <w:t>-150.00</w:t>
            </w:r>
          </w:p>
        </w:tc>
        <w:tc>
          <w:tcPr>
            <w:tcW w:type="dxa" w:w="1680"/>
            <w:shd w:fill="FFFFFF"/>
          </w:tcPr>
          <w:p>
            <w:pPr>
              <w:jc w:val="right"/>
            </w:pPr>
            <w:r>
              <w:rPr>
                <w:sz w:val="16"/>
              </w:rPr>
              <w:t>-100.00</w:t>
            </w:r>
          </w:p>
        </w:tc>
        <w:tc>
          <w:tcPr>
            <w:tcW w:type="dxa" w:w="1680"/>
            <w:shd w:fill="FFFFFF"/>
          </w:tcPr>
          <w:p>
            <w:pPr>
              <w:jc w:val="right"/>
            </w:pPr>
            <w:r>
              <w:rPr>
                <w:sz w:val="16"/>
              </w:rPr>
              <w:t>+33.3%</w:t>
            </w:r>
          </w:p>
        </w:tc>
        <w:tc>
          <w:tcPr>
            <w:tcW w:type="dxa" w:w="1680"/>
          </w:tcPr>
          <w:p>
            <w:pPr>
              <w:jc w:val="center"/>
            </w:pPr>
            <w:r>
              <w:rPr>
                <w:b/>
                <w:sz w:val="16"/>
              </w:rPr>
              <w:t>Low</w:t>
            </w:r>
          </w:p>
        </w:tc>
      </w:tr>
      <w:tr>
        <w:tc>
          <w:tcPr>
            <w:tcW w:type="dxa" w:w="1680"/>
            <w:shd w:fill="F7FAFC"/>
          </w:tcPr>
          <w:p>
            <w:r>
              <w:rPr>
                <w:sz w:val="16"/>
              </w:rPr>
              <w:t>Cash Flow Statement</w:t>
            </w:r>
          </w:p>
        </w:tc>
        <w:tc>
          <w:tcPr>
            <w:tcW w:type="dxa" w:w="1680"/>
            <w:shd w:fill="F7FAFC"/>
          </w:tcPr>
          <w:p>
            <w:r>
              <w:rPr>
                <w:b/>
                <w:sz w:val="16"/>
              </w:rPr>
              <w:t>Cash and Cash Equivalents at the Beginning of the Year</w:t>
            </w:r>
          </w:p>
        </w:tc>
        <w:tc>
          <w:tcPr>
            <w:tcW w:type="dxa" w:w="1680"/>
            <w:shd w:fill="F7FAFC"/>
          </w:tcPr>
          <w:p>
            <w:pPr>
              <w:jc w:val="right"/>
            </w:pPr>
            <w:r>
              <w:rPr>
                <w:sz w:val="16"/>
              </w:rPr>
              <w:t>360.00</w:t>
            </w:r>
          </w:p>
        </w:tc>
        <w:tc>
          <w:tcPr>
            <w:tcW w:type="dxa" w:w="1680"/>
            <w:shd w:fill="F7FAFC"/>
          </w:tcPr>
          <w:p>
            <w:pPr>
              <w:jc w:val="right"/>
            </w:pPr>
            <w:r>
              <w:rPr>
                <w:sz w:val="16"/>
              </w:rPr>
              <w:t>410.00</w:t>
            </w:r>
          </w:p>
        </w:tc>
        <w:tc>
          <w:tcPr>
            <w:tcW w:type="dxa" w:w="1680"/>
            <w:shd w:fill="F7FAFC"/>
          </w:tcPr>
          <w:p>
            <w:pPr>
              <w:jc w:val="right"/>
            </w:pPr>
            <w:r>
              <w:rPr>
                <w:sz w:val="16"/>
              </w:rPr>
              <w:t>+13.9%</w:t>
            </w:r>
          </w:p>
        </w:tc>
        <w:tc>
          <w:tcPr>
            <w:tcW w:type="dxa" w:w="1680"/>
          </w:tcPr>
          <w:p>
            <w:pPr>
              <w:jc w:val="center"/>
            </w:pPr>
            <w:r>
              <w:rPr>
                <w:b/>
                <w:sz w:val="16"/>
              </w:rPr>
              <w:t>Low</w:t>
            </w:r>
          </w:p>
        </w:tc>
      </w:tr>
      <w:tr>
        <w:tc>
          <w:tcPr>
            <w:tcW w:type="dxa" w:w="1680"/>
            <w:shd w:fill="FFFFFF"/>
          </w:tcPr>
          <w:p>
            <w:r>
              <w:rPr>
                <w:sz w:val="16"/>
              </w:rPr>
              <w:t>Profit &amp; Loss</w:t>
            </w:r>
          </w:p>
        </w:tc>
        <w:tc>
          <w:tcPr>
            <w:tcW w:type="dxa" w:w="1680"/>
            <w:shd w:fill="FFFFFF"/>
          </w:tcPr>
          <w:p>
            <w:r>
              <w:rPr>
                <w:b/>
                <w:sz w:val="16"/>
              </w:rPr>
              <w:t>Tax Expense (Current Tax + Deferred Tax)</w:t>
            </w:r>
          </w:p>
        </w:tc>
        <w:tc>
          <w:tcPr>
            <w:tcW w:type="dxa" w:w="1680"/>
            <w:shd w:fill="FFFFFF"/>
          </w:tcPr>
          <w:p>
            <w:pPr>
              <w:jc w:val="right"/>
            </w:pPr>
            <w:r>
              <w:rPr>
                <w:sz w:val="16"/>
              </w:rPr>
              <w:t>315.00</w:t>
            </w:r>
          </w:p>
        </w:tc>
        <w:tc>
          <w:tcPr>
            <w:tcW w:type="dxa" w:w="1680"/>
            <w:shd w:fill="FFFFFF"/>
          </w:tcPr>
          <w:p>
            <w:pPr>
              <w:jc w:val="right"/>
            </w:pPr>
            <w:r>
              <w:rPr>
                <w:sz w:val="16"/>
              </w:rPr>
              <w:t>360.00</w:t>
            </w:r>
          </w:p>
        </w:tc>
        <w:tc>
          <w:tcPr>
            <w:tcW w:type="dxa" w:w="1680"/>
            <w:shd w:fill="FFFFFF"/>
          </w:tcPr>
          <w:p>
            <w:pPr>
              <w:jc w:val="right"/>
            </w:pPr>
            <w:r>
              <w:rPr>
                <w:sz w:val="16"/>
              </w:rPr>
              <w:t>+14.3%</w:t>
            </w:r>
          </w:p>
        </w:tc>
        <w:tc>
          <w:tcPr>
            <w:tcW w:type="dxa" w:w="1680"/>
          </w:tcPr>
          <w:p>
            <w:pPr>
              <w:jc w:val="center"/>
            </w:pPr>
            <w:r>
              <w:rPr>
                <w:b/>
                <w:sz w:val="16"/>
              </w:rPr>
              <w:t>Low</w:t>
            </w:r>
          </w:p>
        </w:tc>
      </w:tr>
      <w:tr>
        <w:tc>
          <w:tcPr>
            <w:tcW w:type="dxa" w:w="1680"/>
            <w:shd w:fill="F7FAFC"/>
          </w:tcPr>
          <w:p>
            <w:r>
              <w:rPr>
                <w:sz w:val="16"/>
              </w:rPr>
              <w:t>Profit &amp; Loss</w:t>
            </w:r>
          </w:p>
        </w:tc>
        <w:tc>
          <w:tcPr>
            <w:tcW w:type="dxa" w:w="1680"/>
            <w:shd w:fill="F7FAFC"/>
          </w:tcPr>
          <w:p>
            <w:r>
              <w:rPr>
                <w:b/>
                <w:sz w:val="16"/>
              </w:rPr>
              <w:t>Other Income</w:t>
            </w:r>
          </w:p>
        </w:tc>
        <w:tc>
          <w:tcPr>
            <w:tcW w:type="dxa" w:w="1680"/>
            <w:shd w:fill="F7FAFC"/>
          </w:tcPr>
          <w:p>
            <w:pPr>
              <w:jc w:val="right"/>
            </w:pPr>
            <w:r>
              <w:rPr>
                <w:sz w:val="16"/>
              </w:rPr>
              <w:t>140.00</w:t>
            </w:r>
          </w:p>
        </w:tc>
        <w:tc>
          <w:tcPr>
            <w:tcW w:type="dxa" w:w="1680"/>
            <w:shd w:fill="F7FAFC"/>
          </w:tcPr>
          <w:p>
            <w:pPr>
              <w:jc w:val="right"/>
            </w:pPr>
            <w:r>
              <w:rPr>
                <w:sz w:val="16"/>
              </w:rPr>
              <w:t>180.00</w:t>
            </w:r>
          </w:p>
        </w:tc>
        <w:tc>
          <w:tcPr>
            <w:tcW w:type="dxa" w:w="1680"/>
            <w:shd w:fill="F7FAFC"/>
          </w:tcPr>
          <w:p>
            <w:pPr>
              <w:jc w:val="right"/>
            </w:pPr>
            <w:r>
              <w:rPr>
                <w:sz w:val="16"/>
              </w:rPr>
              <w:t>+28.6%</w:t>
            </w:r>
          </w:p>
        </w:tc>
        <w:tc>
          <w:tcPr>
            <w:tcW w:type="dxa" w:w="1680"/>
          </w:tcPr>
          <w:p>
            <w:pPr>
              <w:jc w:val="center"/>
            </w:pPr>
            <w:r>
              <w:rPr>
                <w:b/>
                <w:sz w:val="16"/>
              </w:rPr>
              <w:t>Low</w:t>
            </w:r>
          </w:p>
        </w:tc>
      </w:tr>
      <w:tr>
        <w:tc>
          <w:tcPr>
            <w:tcW w:type="dxa" w:w="1680"/>
            <w:shd w:fill="FFFFFF"/>
          </w:tcPr>
          <w:p>
            <w:r>
              <w:rPr>
                <w:sz w:val="16"/>
              </w:rPr>
              <w:t>Balance Sheet</w:t>
            </w:r>
          </w:p>
        </w:tc>
        <w:tc>
          <w:tcPr>
            <w:tcW w:type="dxa" w:w="1680"/>
            <w:shd w:fill="FFFFFF"/>
          </w:tcPr>
          <w:p>
            <w:r>
              <w:rPr>
                <w:b/>
                <w:sz w:val="16"/>
              </w:rPr>
              <w:t>Deferred Tax Liabilities (Net)</w:t>
            </w:r>
          </w:p>
        </w:tc>
        <w:tc>
          <w:tcPr>
            <w:tcW w:type="dxa" w:w="1680"/>
            <w:shd w:fill="FFFFFF"/>
          </w:tcPr>
          <w:p>
            <w:pPr>
              <w:jc w:val="right"/>
            </w:pPr>
            <w:r>
              <w:rPr>
                <w:sz w:val="16"/>
              </w:rPr>
              <w:t>290.00</w:t>
            </w:r>
          </w:p>
        </w:tc>
        <w:tc>
          <w:tcPr>
            <w:tcW w:type="dxa" w:w="1680"/>
            <w:shd w:fill="FFFFFF"/>
          </w:tcPr>
          <w:p>
            <w:pPr>
              <w:jc w:val="right"/>
            </w:pPr>
            <w:r>
              <w:rPr>
                <w:sz w:val="16"/>
              </w:rPr>
              <w:t>320.00</w:t>
            </w:r>
          </w:p>
        </w:tc>
        <w:tc>
          <w:tcPr>
            <w:tcW w:type="dxa" w:w="1680"/>
            <w:shd w:fill="FFFFFF"/>
          </w:tcPr>
          <w:p>
            <w:pPr>
              <w:jc w:val="right"/>
            </w:pPr>
            <w:r>
              <w:rPr>
                <w:sz w:val="16"/>
              </w:rPr>
              <w:t>+10.3%</w:t>
            </w:r>
          </w:p>
        </w:tc>
        <w:tc>
          <w:tcPr>
            <w:tcW w:type="dxa" w:w="1680"/>
          </w:tcPr>
          <w:p>
            <w:pPr>
              <w:jc w:val="center"/>
            </w:pPr>
            <w:r>
              <w:rPr>
                <w:b/>
                <w:sz w:val="16"/>
              </w:rPr>
              <w:t>Low</w:t>
            </w:r>
          </w:p>
        </w:tc>
      </w:tr>
      <w:tr>
        <w:tc>
          <w:tcPr>
            <w:tcW w:type="dxa" w:w="1680"/>
            <w:shd w:fill="F7FAFC"/>
          </w:tcPr>
          <w:p>
            <w:r>
              <w:rPr>
                <w:sz w:val="16"/>
              </w:rPr>
              <w:t>Balance Sheet</w:t>
            </w:r>
          </w:p>
        </w:tc>
        <w:tc>
          <w:tcPr>
            <w:tcW w:type="dxa" w:w="1680"/>
            <w:shd w:fill="F7FAFC"/>
          </w:tcPr>
          <w:p>
            <w:r>
              <w:rPr>
                <w:b/>
                <w:sz w:val="16"/>
              </w:rPr>
              <w:t>Other Current Assets &amp; Advances</w:t>
            </w:r>
          </w:p>
        </w:tc>
        <w:tc>
          <w:tcPr>
            <w:tcW w:type="dxa" w:w="1680"/>
            <w:shd w:fill="F7FAFC"/>
          </w:tcPr>
          <w:p>
            <w:pPr>
              <w:jc w:val="right"/>
            </w:pPr>
            <w:r>
              <w:rPr>
                <w:sz w:val="16"/>
              </w:rPr>
              <w:t>320.00</w:t>
            </w:r>
          </w:p>
        </w:tc>
        <w:tc>
          <w:tcPr>
            <w:tcW w:type="dxa" w:w="1680"/>
            <w:shd w:fill="F7FAFC"/>
          </w:tcPr>
          <w:p>
            <w:pPr>
              <w:jc w:val="right"/>
            </w:pPr>
            <w:r>
              <w:rPr>
                <w:sz w:val="16"/>
              </w:rPr>
              <w:t>350.00</w:t>
            </w:r>
          </w:p>
        </w:tc>
        <w:tc>
          <w:tcPr>
            <w:tcW w:type="dxa" w:w="1680"/>
            <w:shd w:fill="F7FAFC"/>
          </w:tcPr>
          <w:p>
            <w:pPr>
              <w:jc w:val="right"/>
            </w:pPr>
            <w:r>
              <w:rPr>
                <w:sz w:val="16"/>
              </w:rPr>
              <w:t>+9.4%</w:t>
            </w:r>
          </w:p>
        </w:tc>
        <w:tc>
          <w:tcPr>
            <w:tcW w:type="dxa" w:w="1680"/>
          </w:tcPr>
          <w:p>
            <w:pPr>
              <w:jc w:val="center"/>
            </w:pPr>
            <w:r>
              <w:rPr>
                <w:b/>
                <w:sz w:val="16"/>
              </w:rPr>
              <w:t>Low</w:t>
            </w:r>
          </w:p>
        </w:tc>
      </w:tr>
    </w:tbl>
    <w:p>
      <w:pPr>
        <w:spacing w:after="240"/>
      </w:pPr>
    </w:p>
    <w:p>
      <w:pPr>
        <w:pStyle w:val="Heading1"/>
      </w:pPr>
      <w:r>
        <w:rPr>
          <w:rFonts w:ascii="Segoe UI" w:hAnsi="Segoe UI"/>
          <w:color w:val="1A365D"/>
        </w:rPr>
        <w:t>6. Possible Reasons for Significant Variations</w:t>
      </w:r>
    </w:p>
    <w:p>
      <w:r>
        <w:rPr>
          <w:i/>
        </w:rPr>
        <w:t>IMPORTANT NOTICE: The explanations outlined below represent professional hypotheses derived from financial statement patterns and standard accounting relationships. They do NOT represent confirmed facts. Primary corroborative evidence must be obtained to confirm actual causes.</w:t>
      </w:r>
    </w:p>
    <w:p>
      <w:pPr>
        <w:spacing w:before="160"/>
      </w:pPr>
      <w:r>
        <w:rPr>
          <w:rFonts w:ascii="Segoe UI" w:hAnsi="Segoe UI"/>
          <w:b/>
          <w:color w:val="2B6CB0"/>
          <w:sz w:val="20"/>
        </w:rPr>
        <w:t>• TOTAL INCOME (Profit &amp; Loss) — Increase of +19.0%</w:t>
      </w:r>
    </w:p>
    <w:p>
      <w:pPr>
        <w:ind w:left="360"/>
      </w:pPr>
      <w:r>
        <w:rPr>
          <w:b/>
        </w:rPr>
        <w:t>POSSIBLE REASONS (May include):</w:t>
      </w:r>
    </w:p>
    <w:p>
      <w:pPr>
        <w:pStyle w:val="ListBullet"/>
        <w:ind w:left="576"/>
      </w:pPr>
      <w:r>
        <w:rPr>
          <w:sz w:val="18"/>
        </w:rPr>
        <w:t>Expansion or increase in operational volume during the current accounting period.</w:t>
      </w:r>
    </w:p>
    <w:p>
      <w:pPr>
        <w:pStyle w:val="ListBullet"/>
        <w:ind w:left="576"/>
      </w:pPr>
      <w:r>
        <w:rPr>
          <w:sz w:val="18"/>
        </w:rPr>
        <w:t>General inflationary price adjustments or revised vendor/customer terms.</w:t>
      </w:r>
    </w:p>
    <w:p>
      <w:pPr>
        <w:pStyle w:val="ListBullet"/>
        <w:ind w:left="576"/>
      </w:pPr>
      <w:r>
        <w:rPr>
          <w:sz w:val="18"/>
        </w:rPr>
        <w:t>Reclassification or inclusion of additional sub-accounts.</w:t>
      </w:r>
    </w:p>
    <w:p>
      <w:pPr>
        <w:pStyle w:val="ListBullet"/>
        <w:ind w:left="576"/>
      </w:pPr>
      <w:r>
        <w:rPr>
          <w:sz w:val="18"/>
        </w:rPr>
        <w:t>Change in accounting estimation or timing of recognition.</w:t>
      </w:r>
    </w:p>
    <w:p>
      <w:pPr>
        <w:spacing w:before="160"/>
      </w:pPr>
      <w:r>
        <w:rPr>
          <w:rFonts w:ascii="Segoe UI" w:hAnsi="Segoe UI"/>
          <w:b/>
          <w:color w:val="2B6CB0"/>
          <w:sz w:val="20"/>
        </w:rPr>
        <w:t>• Revenue from Operations (Gross Sales) (Profit &amp; Loss) — Increase of +18.9%</w:t>
      </w:r>
    </w:p>
    <w:p>
      <w:pPr>
        <w:ind w:left="360"/>
      </w:pPr>
      <w:r>
        <w:rPr>
          <w:b/>
        </w:rPr>
        <w:t>POSSIBLE REASONS (May include):</w:t>
      </w:r>
    </w:p>
    <w:p>
      <w:pPr>
        <w:pStyle w:val="ListBullet"/>
        <w:ind w:left="576"/>
      </w:pPr>
      <w:r>
        <w:rPr>
          <w:sz w:val="18"/>
        </w:rPr>
        <w:t>Expansion of business operations, customer base, or geographic territories.</w:t>
      </w:r>
    </w:p>
    <w:p>
      <w:pPr>
        <w:pStyle w:val="ListBullet"/>
        <w:ind w:left="576"/>
      </w:pPr>
      <w:r>
        <w:rPr>
          <w:sz w:val="18"/>
        </w:rPr>
        <w:t>Increase in sales volume or units dispatched.</w:t>
      </w:r>
    </w:p>
    <w:p>
      <w:pPr>
        <w:pStyle w:val="ListBullet"/>
        <w:ind w:left="576"/>
      </w:pPr>
      <w:r>
        <w:rPr>
          <w:sz w:val="18"/>
        </w:rPr>
        <w:t>Upward revision in selling prices or product pricing realization.</w:t>
      </w:r>
    </w:p>
    <w:p>
      <w:pPr>
        <w:pStyle w:val="ListBullet"/>
        <w:ind w:left="576"/>
      </w:pPr>
      <w:r>
        <w:rPr>
          <w:sz w:val="18"/>
        </w:rPr>
        <w:t>Favorable change in product / sales mix towards higher-margin items.</w:t>
      </w:r>
    </w:p>
    <w:p>
      <w:pPr>
        <w:pStyle w:val="ListBullet"/>
        <w:ind w:left="576"/>
      </w:pPr>
      <w:r>
        <w:rPr>
          <w:sz w:val="18"/>
        </w:rPr>
        <w:t>Recognition of deferred or unbilled revenue in the current period.</w:t>
      </w:r>
    </w:p>
    <w:p>
      <w:pPr>
        <w:pStyle w:val="ListBullet"/>
        <w:ind w:left="576"/>
      </w:pPr>
      <w:r>
        <w:rPr>
          <w:sz w:val="18"/>
        </w:rPr>
        <w:t>Possible aggressive revenue recognition near period-end (e.g., channel stuffing or early cutoff).</w:t>
      </w:r>
    </w:p>
    <w:p>
      <w:pPr>
        <w:spacing w:before="160"/>
      </w:pPr>
      <w:r>
        <w:rPr>
          <w:rFonts w:ascii="Segoe UI" w:hAnsi="Segoe UI"/>
          <w:b/>
          <w:color w:val="2B6CB0"/>
          <w:sz w:val="20"/>
        </w:rPr>
        <w:t>• TOTAL EXPENSES (Profit &amp; Loss) — Increase of +19.6%</w:t>
      </w:r>
    </w:p>
    <w:p>
      <w:pPr>
        <w:ind w:left="360"/>
      </w:pPr>
      <w:r>
        <w:rPr>
          <w:b/>
        </w:rPr>
        <w:t>POSSIBLE REASONS (May include):</w:t>
      </w:r>
    </w:p>
    <w:p>
      <w:pPr>
        <w:pStyle w:val="ListBullet"/>
        <w:ind w:left="576"/>
      </w:pPr>
      <w:r>
        <w:rPr>
          <w:sz w:val="18"/>
        </w:rPr>
        <w:t>Expansion or increase in operational volume during the current accounting period.</w:t>
      </w:r>
    </w:p>
    <w:p>
      <w:pPr>
        <w:pStyle w:val="ListBullet"/>
        <w:ind w:left="576"/>
      </w:pPr>
      <w:r>
        <w:rPr>
          <w:sz w:val="18"/>
        </w:rPr>
        <w:t>General inflationary price adjustments or revised vendor/customer terms.</w:t>
      </w:r>
    </w:p>
    <w:p>
      <w:pPr>
        <w:pStyle w:val="ListBullet"/>
        <w:ind w:left="576"/>
      </w:pPr>
      <w:r>
        <w:rPr>
          <w:sz w:val="18"/>
        </w:rPr>
        <w:t>Reclassification or inclusion of additional sub-accounts.</w:t>
      </w:r>
    </w:p>
    <w:p>
      <w:pPr>
        <w:pStyle w:val="ListBullet"/>
        <w:ind w:left="576"/>
      </w:pPr>
      <w:r>
        <w:rPr>
          <w:sz w:val="18"/>
        </w:rPr>
        <w:t>Change in accounting estimation or timing of recognition.</w:t>
      </w:r>
    </w:p>
    <w:p>
      <w:pPr>
        <w:spacing w:before="160"/>
      </w:pPr>
      <w:r>
        <w:rPr>
          <w:rFonts w:ascii="Segoe UI" w:hAnsi="Segoe UI"/>
          <w:b/>
          <w:color w:val="2B6CB0"/>
          <w:sz w:val="20"/>
        </w:rPr>
        <w:t>• TOTAL EQUITY AND LIABILITIES (Balance Sheet) — Increase of +20.9%</w:t>
      </w:r>
    </w:p>
    <w:p>
      <w:pPr>
        <w:ind w:left="360"/>
      </w:pPr>
      <w:r>
        <w:rPr>
          <w:b/>
        </w:rPr>
        <w:t>POSSIBLE REASONS (May include):</w:t>
      </w:r>
    </w:p>
    <w:p>
      <w:pPr>
        <w:pStyle w:val="ListBullet"/>
        <w:ind w:left="576"/>
      </w:pPr>
      <w:r>
        <w:rPr>
          <w:sz w:val="18"/>
        </w:rPr>
        <w:t>Expansion or increase in operational volume during the current accounting period.</w:t>
      </w:r>
    </w:p>
    <w:p>
      <w:pPr>
        <w:pStyle w:val="ListBullet"/>
        <w:ind w:left="576"/>
      </w:pPr>
      <w:r>
        <w:rPr>
          <w:sz w:val="18"/>
        </w:rPr>
        <w:t>General inflationary price adjustments or revised vendor/customer terms.</w:t>
      </w:r>
    </w:p>
    <w:p>
      <w:pPr>
        <w:pStyle w:val="ListBullet"/>
        <w:ind w:left="576"/>
      </w:pPr>
      <w:r>
        <w:rPr>
          <w:sz w:val="18"/>
        </w:rPr>
        <w:t>Reclassification or inclusion of additional sub-accounts.</w:t>
      </w:r>
    </w:p>
    <w:p>
      <w:pPr>
        <w:pStyle w:val="ListBullet"/>
        <w:ind w:left="576"/>
      </w:pPr>
      <w:r>
        <w:rPr>
          <w:sz w:val="18"/>
        </w:rPr>
        <w:t>Change in accounting estimation or timing of recognition.</w:t>
      </w:r>
    </w:p>
    <w:p>
      <w:pPr>
        <w:spacing w:before="160"/>
      </w:pPr>
      <w:r>
        <w:rPr>
          <w:rFonts w:ascii="Segoe UI" w:hAnsi="Segoe UI"/>
          <w:b/>
          <w:color w:val="2B6CB0"/>
          <w:sz w:val="20"/>
        </w:rPr>
        <w:t>• TOTAL ASSETS (Balance Sheet) — Increase of +20.9%</w:t>
      </w:r>
    </w:p>
    <w:p>
      <w:pPr>
        <w:ind w:left="360"/>
      </w:pPr>
      <w:r>
        <w:rPr>
          <w:b/>
        </w:rPr>
        <w:t>POSSIBLE REASONS (May include):</w:t>
      </w:r>
    </w:p>
    <w:p>
      <w:pPr>
        <w:pStyle w:val="ListBullet"/>
        <w:ind w:left="576"/>
      </w:pPr>
      <w:r>
        <w:rPr>
          <w:sz w:val="18"/>
        </w:rPr>
        <w:t>Acquisition of new plant, machinery, land, building, or technological equipment.</w:t>
      </w:r>
    </w:p>
    <w:p>
      <w:pPr>
        <w:pStyle w:val="ListBullet"/>
        <w:ind w:left="576"/>
      </w:pPr>
      <w:r>
        <w:rPr>
          <w:sz w:val="18"/>
        </w:rPr>
        <w:t>Capitalization of ongoing Capital Work-in-Progress (CWIP) projects upon commissioning.</w:t>
      </w:r>
    </w:p>
    <w:p>
      <w:pPr>
        <w:pStyle w:val="ListBullet"/>
        <w:ind w:left="576"/>
      </w:pPr>
      <w:r>
        <w:rPr>
          <w:sz w:val="18"/>
        </w:rPr>
        <w:t>Upward revaluation of tangible fixed assets as per applicable accounting standards.</w:t>
      </w:r>
    </w:p>
    <w:p>
      <w:pPr>
        <w:pStyle w:val="ListBullet"/>
        <w:ind w:left="576"/>
      </w:pPr>
      <w:r>
        <w:rPr>
          <w:sz w:val="18"/>
        </w:rPr>
        <w:t>Inclusion of right-of-use (ROU) assets under Ind AS 116 lease accounting.</w:t>
      </w:r>
    </w:p>
    <w:p>
      <w:pPr>
        <w:spacing w:before="160"/>
      </w:pPr>
      <w:r>
        <w:rPr>
          <w:rFonts w:ascii="Segoe UI" w:hAnsi="Segoe UI"/>
          <w:b/>
          <w:color w:val="2B6CB0"/>
          <w:sz w:val="20"/>
        </w:rPr>
        <w:t>• Cost of Materials Consumed (Profit &amp; Loss) — Increase of +18.8%</w:t>
      </w:r>
    </w:p>
    <w:p>
      <w:pPr>
        <w:ind w:left="360"/>
      </w:pPr>
      <w:r>
        <w:rPr>
          <w:b/>
        </w:rPr>
        <w:t>POSSIBLE REASONS (May include):</w:t>
      </w:r>
    </w:p>
    <w:p>
      <w:pPr>
        <w:pStyle w:val="ListBullet"/>
        <w:ind w:left="576"/>
      </w:pPr>
      <w:r>
        <w:rPr>
          <w:sz w:val="18"/>
        </w:rPr>
        <w:t>Expansion or increase in operational volume during the current accounting period.</w:t>
      </w:r>
    </w:p>
    <w:p>
      <w:pPr>
        <w:pStyle w:val="ListBullet"/>
        <w:ind w:left="576"/>
      </w:pPr>
      <w:r>
        <w:rPr>
          <w:sz w:val="18"/>
        </w:rPr>
        <w:t>General inflationary price adjustments or revised vendor/customer terms.</w:t>
      </w:r>
    </w:p>
    <w:p>
      <w:pPr>
        <w:pStyle w:val="ListBullet"/>
        <w:ind w:left="576"/>
      </w:pPr>
      <w:r>
        <w:rPr>
          <w:sz w:val="18"/>
        </w:rPr>
        <w:t>Reclassification or inclusion of additional sub-accounts.</w:t>
      </w:r>
    </w:p>
    <w:p>
      <w:pPr>
        <w:pStyle w:val="ListBullet"/>
        <w:ind w:left="576"/>
      </w:pPr>
      <w:r>
        <w:rPr>
          <w:sz w:val="18"/>
        </w:rPr>
        <w:t>Change in accounting estimation or timing of recognition.</w:t>
      </w:r>
    </w:p>
    <w:p>
      <w:pPr>
        <w:spacing w:before="160"/>
      </w:pPr>
      <w:r>
        <w:rPr>
          <w:rFonts w:ascii="Segoe UI" w:hAnsi="Segoe UI"/>
          <w:b/>
          <w:color w:val="2B6CB0"/>
          <w:sz w:val="20"/>
        </w:rPr>
        <w:t>• Property, Plant and Equipment (Gross Block) (Balance Sheet) — Increase of +17.4%</w:t>
      </w:r>
    </w:p>
    <w:p>
      <w:pPr>
        <w:ind w:left="360"/>
      </w:pPr>
      <w:r>
        <w:rPr>
          <w:b/>
        </w:rPr>
        <w:t>POSSIBLE REASONS (May include):</w:t>
      </w:r>
    </w:p>
    <w:p>
      <w:pPr>
        <w:pStyle w:val="ListBullet"/>
        <w:ind w:left="576"/>
      </w:pPr>
      <w:r>
        <w:rPr>
          <w:sz w:val="18"/>
        </w:rPr>
        <w:t>Acquisition of new plant, machinery, land, building, or technological equipment.</w:t>
      </w:r>
    </w:p>
    <w:p>
      <w:pPr>
        <w:pStyle w:val="ListBullet"/>
        <w:ind w:left="576"/>
      </w:pPr>
      <w:r>
        <w:rPr>
          <w:sz w:val="18"/>
        </w:rPr>
        <w:t>Capitalization of ongoing Capital Work-in-Progress (CWIP) projects upon commissioning.</w:t>
      </w:r>
    </w:p>
    <w:p>
      <w:pPr>
        <w:pStyle w:val="ListBullet"/>
        <w:ind w:left="576"/>
      </w:pPr>
      <w:r>
        <w:rPr>
          <w:sz w:val="18"/>
        </w:rPr>
        <w:t>Upward revaluation of tangible fixed assets as per applicable accounting standards.</w:t>
      </w:r>
    </w:p>
    <w:p>
      <w:pPr>
        <w:pStyle w:val="ListBullet"/>
        <w:ind w:left="576"/>
      </w:pPr>
      <w:r>
        <w:rPr>
          <w:sz w:val="18"/>
        </w:rPr>
        <w:t>Inclusion of right-of-use (ROU) assets under Ind AS 116 lease accounting.</w:t>
      </w:r>
    </w:p>
    <w:p>
      <w:pPr>
        <w:spacing w:before="160"/>
      </w:pPr>
      <w:r>
        <w:rPr>
          <w:rFonts w:ascii="Segoe UI" w:hAnsi="Segoe UI"/>
          <w:b/>
          <w:color w:val="2B6CB0"/>
          <w:sz w:val="20"/>
        </w:rPr>
        <w:t>• Short-Term Borrowings (Cash Credit Limits) (Balance Sheet) — Increase of +54.2%</w:t>
      </w:r>
    </w:p>
    <w:p>
      <w:pPr>
        <w:ind w:left="360"/>
      </w:pPr>
      <w:r>
        <w:rPr>
          <w:b/>
        </w:rPr>
        <w:t>POSSIBLE REASONS (May include):</w:t>
      </w:r>
    </w:p>
    <w:p>
      <w:pPr>
        <w:pStyle w:val="ListBullet"/>
        <w:ind w:left="576"/>
      </w:pPr>
      <w:r>
        <w:rPr>
          <w:sz w:val="18"/>
        </w:rPr>
        <w:t>Expansion or increase in operational volume during the current accounting period.</w:t>
      </w:r>
    </w:p>
    <w:p>
      <w:pPr>
        <w:pStyle w:val="ListBullet"/>
        <w:ind w:left="576"/>
      </w:pPr>
      <w:r>
        <w:rPr>
          <w:sz w:val="18"/>
        </w:rPr>
        <w:t>General inflationary price adjustments or revised vendor/customer terms.</w:t>
      </w:r>
    </w:p>
    <w:p>
      <w:pPr>
        <w:pStyle w:val="ListBullet"/>
        <w:ind w:left="576"/>
      </w:pPr>
      <w:r>
        <w:rPr>
          <w:sz w:val="18"/>
        </w:rPr>
        <w:t>Reclassification or inclusion of additional sub-accounts.</w:t>
      </w:r>
    </w:p>
    <w:p>
      <w:pPr>
        <w:pStyle w:val="ListBullet"/>
        <w:ind w:left="576"/>
      </w:pPr>
      <w:r>
        <w:rPr>
          <w:sz w:val="18"/>
        </w:rPr>
        <w:t>Change in accounting estimation or timing of recognition.</w:t>
      </w:r>
    </w:p>
    <w:p>
      <w:pPr>
        <w:spacing w:before="160"/>
      </w:pPr>
      <w:r>
        <w:rPr>
          <w:rFonts w:ascii="Segoe UI" w:hAnsi="Segoe UI"/>
          <w:b/>
          <w:color w:val="2B6CB0"/>
          <w:sz w:val="20"/>
        </w:rPr>
        <w:t>• Reserves and Surplus (Balance Sheet) — Increase of +15.2%</w:t>
      </w:r>
    </w:p>
    <w:p>
      <w:pPr>
        <w:ind w:left="360"/>
      </w:pPr>
      <w:r>
        <w:rPr>
          <w:b/>
        </w:rPr>
        <w:t>POSSIBLE REASONS (May include):</w:t>
      </w:r>
    </w:p>
    <w:p>
      <w:pPr>
        <w:pStyle w:val="ListBullet"/>
        <w:ind w:left="576"/>
      </w:pPr>
      <w:r>
        <w:rPr>
          <w:sz w:val="18"/>
        </w:rPr>
        <w:t>Expansion or increase in operational volume during the current accounting period.</w:t>
      </w:r>
    </w:p>
    <w:p>
      <w:pPr>
        <w:pStyle w:val="ListBullet"/>
        <w:ind w:left="576"/>
      </w:pPr>
      <w:r>
        <w:rPr>
          <w:sz w:val="18"/>
        </w:rPr>
        <w:t>General inflationary price adjustments or revised vendor/customer terms.</w:t>
      </w:r>
    </w:p>
    <w:p>
      <w:pPr>
        <w:pStyle w:val="ListBullet"/>
        <w:ind w:left="576"/>
      </w:pPr>
      <w:r>
        <w:rPr>
          <w:sz w:val="18"/>
        </w:rPr>
        <w:t>Reclassification or inclusion of additional sub-accounts.</w:t>
      </w:r>
    </w:p>
    <w:p>
      <w:pPr>
        <w:pStyle w:val="ListBullet"/>
        <w:ind w:left="576"/>
      </w:pPr>
      <w:r>
        <w:rPr>
          <w:sz w:val="18"/>
        </w:rPr>
        <w:t>Change in accounting estimation or timing of recognition.</w:t>
      </w:r>
    </w:p>
    <w:p>
      <w:pPr>
        <w:spacing w:before="160"/>
      </w:pPr>
      <w:r>
        <w:rPr>
          <w:rFonts w:ascii="Segoe UI" w:hAnsi="Segoe UI"/>
          <w:b/>
          <w:color w:val="2B6CB0"/>
          <w:sz w:val="20"/>
        </w:rPr>
        <w:t>• Inventories (Raw Material, WIP, FG) (Balance Sheet) — Increase of +27.0%</w:t>
      </w:r>
    </w:p>
    <w:p>
      <w:pPr>
        <w:ind w:left="360"/>
      </w:pPr>
      <w:r>
        <w:rPr>
          <w:b/>
        </w:rPr>
        <w:t>POSSIBLE REASONS (May include):</w:t>
      </w:r>
    </w:p>
    <w:p>
      <w:pPr>
        <w:pStyle w:val="ListBullet"/>
        <w:ind w:left="576"/>
      </w:pPr>
      <w:r>
        <w:rPr>
          <w:sz w:val="18"/>
        </w:rPr>
        <w:t>Expansion or increase in operational volume during the current accounting period.</w:t>
      </w:r>
    </w:p>
    <w:p>
      <w:pPr>
        <w:pStyle w:val="ListBullet"/>
        <w:ind w:left="576"/>
      </w:pPr>
      <w:r>
        <w:rPr>
          <w:sz w:val="18"/>
        </w:rPr>
        <w:t>General inflationary price adjustments or revised vendor/customer terms.</w:t>
      </w:r>
    </w:p>
    <w:p>
      <w:pPr>
        <w:pStyle w:val="ListBullet"/>
        <w:ind w:left="576"/>
      </w:pPr>
      <w:r>
        <w:rPr>
          <w:sz w:val="18"/>
        </w:rPr>
        <w:t>Reclassification or inclusion of additional sub-accounts.</w:t>
      </w:r>
    </w:p>
    <w:p>
      <w:pPr>
        <w:pStyle w:val="ListBullet"/>
        <w:ind w:left="576"/>
      </w:pPr>
      <w:r>
        <w:rPr>
          <w:sz w:val="18"/>
        </w:rPr>
        <w:t>Change in accounting estimation or timing of recognition.</w:t>
      </w:r>
    </w:p>
    <w:p>
      <w:pPr>
        <w:spacing w:before="160"/>
      </w:pPr>
      <w:r>
        <w:rPr>
          <w:rFonts w:ascii="Segoe UI" w:hAnsi="Segoe UI"/>
          <w:b/>
          <w:color w:val="2B6CB0"/>
          <w:sz w:val="20"/>
        </w:rPr>
        <w:t>• Trade Receivables (Debtors) (Balance Sheet) — Increase of +28.5%</w:t>
      </w:r>
    </w:p>
    <w:p>
      <w:pPr>
        <w:ind w:left="360"/>
      </w:pPr>
      <w:r>
        <w:rPr>
          <w:b/>
        </w:rPr>
        <w:t>POSSIBLE REASONS (May include):</w:t>
      </w:r>
    </w:p>
    <w:p>
      <w:pPr>
        <w:pStyle w:val="ListBullet"/>
        <w:ind w:left="576"/>
      </w:pPr>
      <w:r>
        <w:rPr>
          <w:sz w:val="18"/>
        </w:rPr>
        <w:t>Growth in credit sales volume during the latter part of the financial year.</w:t>
      </w:r>
    </w:p>
    <w:p>
      <w:pPr>
        <w:pStyle w:val="ListBullet"/>
        <w:ind w:left="576"/>
      </w:pPr>
      <w:r>
        <w:rPr>
          <w:sz w:val="18"/>
        </w:rPr>
        <w:t>Relaxation or extension of customer credit terms to drive revenue.</w:t>
      </w:r>
    </w:p>
    <w:p>
      <w:pPr>
        <w:pStyle w:val="ListBullet"/>
        <w:ind w:left="576"/>
      </w:pPr>
      <w:r>
        <w:rPr>
          <w:sz w:val="18"/>
        </w:rPr>
        <w:t>Slower collection cycles or liquidity distress among key customers.</w:t>
      </w:r>
    </w:p>
    <w:p>
      <w:pPr>
        <w:pStyle w:val="ListBullet"/>
        <w:ind w:left="576"/>
      </w:pPr>
      <w:r>
        <w:rPr>
          <w:sz w:val="18"/>
        </w:rPr>
        <w:t>Concentration of unpaid balances among a few major debtors.</w:t>
      </w:r>
    </w:p>
    <w:p>
      <w:pPr>
        <w:pStyle w:val="ListBullet"/>
        <w:ind w:left="576"/>
      </w:pPr>
      <w:r>
        <w:rPr>
          <w:sz w:val="18"/>
        </w:rPr>
        <w:t>Accumulation of disputed, overdue, or potentially doubtful debts without adequate provisioning.</w:t>
      </w:r>
    </w:p>
    <w:p>
      <w:pPr>
        <w:spacing w:before="160"/>
      </w:pPr>
      <w:r>
        <w:rPr>
          <w:rFonts w:ascii="Segoe UI" w:hAnsi="Segoe UI"/>
          <w:b/>
          <w:color w:val="2B6CB0"/>
          <w:sz w:val="20"/>
        </w:rPr>
        <w:t>• Long-Term Borrowings (Term Loans) (Balance Sheet) — Increase of +27.3%</w:t>
      </w:r>
    </w:p>
    <w:p>
      <w:pPr>
        <w:ind w:left="360"/>
      </w:pPr>
      <w:r>
        <w:rPr>
          <w:b/>
        </w:rPr>
        <w:t>POSSIBLE REASONS (May include):</w:t>
      </w:r>
    </w:p>
    <w:p>
      <w:pPr>
        <w:pStyle w:val="ListBullet"/>
        <w:ind w:left="576"/>
      </w:pPr>
      <w:r>
        <w:rPr>
          <w:sz w:val="18"/>
        </w:rPr>
        <w:t>Availment of new term loans or debt instruments to fund capital expenditure (CapEx) / plant expansion.</w:t>
      </w:r>
    </w:p>
    <w:p>
      <w:pPr>
        <w:pStyle w:val="ListBullet"/>
        <w:ind w:left="576"/>
      </w:pPr>
      <w:r>
        <w:rPr>
          <w:sz w:val="18"/>
        </w:rPr>
        <w:t>Restructuring or refinancing of high-cost short-term obligations into long-term facilities.</w:t>
      </w:r>
    </w:p>
    <w:p>
      <w:pPr>
        <w:pStyle w:val="ListBullet"/>
        <w:ind w:left="576"/>
      </w:pPr>
      <w:r>
        <w:rPr>
          <w:sz w:val="18"/>
        </w:rPr>
        <w:t>Funding long-term strategic investments, acquisitions, or debt servicing.</w:t>
      </w:r>
    </w:p>
    <w:p>
      <w:pPr>
        <w:pStyle w:val="ListBullet"/>
        <w:ind w:left="576"/>
      </w:pPr>
      <w:r>
        <w:rPr>
          <w:sz w:val="18"/>
        </w:rPr>
        <w:t>Issuance of debentures or external commercial borrowings (ECBs).</w:t>
      </w:r>
    </w:p>
    <w:p>
      <w:pPr>
        <w:pStyle w:val="Heading1"/>
      </w:pPr>
      <w:r>
        <w:rPr>
          <w:rFonts w:ascii="Segoe UI" w:hAnsi="Segoe UI"/>
          <w:color w:val="1A365D"/>
        </w:rPr>
        <w:t>7. Audit Verification Requirements &amp; Corroborative Evidence</w:t>
      </w:r>
    </w:p>
    <w:p>
      <w:r>
        <w:t>In accordance with Standards on Auditing (SA 500 / SA 520), the following specific documents and schedules are required to obtain sufficient and appropriate audit evidence for material movements.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rFonts w:ascii="Segoe UI" w:hAnsi="Segoe UI"/>
                <w:b/>
                <w:color w:val="FFFFFF"/>
                <w:sz w:val="17"/>
              </w:rPr>
              <w:t>Financial Statement Area</w:t>
            </w:r>
          </w:p>
        </w:tc>
        <w:tc>
          <w:tcPr>
            <w:tcW w:type="dxa" w:w="3360"/>
            <w:shd w:fill="1A365D"/>
          </w:tcPr>
          <w:p>
            <w:r>
              <w:rPr>
                <w:rFonts w:ascii="Segoe UI" w:hAnsi="Segoe UI"/>
                <w:b/>
                <w:color w:val="FFFFFF"/>
                <w:sz w:val="17"/>
              </w:rPr>
              <w:t>Required Audit Document / Evidence</w:t>
            </w:r>
          </w:p>
        </w:tc>
        <w:tc>
          <w:tcPr>
            <w:tcW w:type="dxa" w:w="3360"/>
            <w:shd w:fill="1A365D"/>
          </w:tcPr>
          <w:p>
            <w:r>
              <w:rPr>
                <w:rFonts w:ascii="Segoe UI" w:hAnsi="Segoe UI"/>
                <w:b/>
                <w:color w:val="FFFFFF"/>
                <w:sz w:val="17"/>
              </w:rPr>
              <w:t>WHY Document is Required (Audit Purpose)</w:t>
            </w:r>
          </w:p>
        </w:tc>
      </w:tr>
      <w:tr>
        <w:tc>
          <w:tcPr>
            <w:tcW w:type="dxa" w:w="3360"/>
            <w:shd w:fill="FFFFFF"/>
            <w:tcMar>
              <w:top w:w="40" w:type="dxa"/>
              <w:bottom w:w="40" w:type="dxa"/>
              <w:left w:w="120" w:type="dxa"/>
              <w:right w:w="120" w:type="dxa"/>
            </w:tcMar>
          </w:tcPr>
          <w:p>
            <w:r>
              <w:rPr>
                <w:b/>
                <w:sz w:val="16"/>
              </w:rPr>
              <w:t>TOTAL INCOME</w:t>
            </w:r>
          </w:p>
        </w:tc>
        <w:tc>
          <w:tcPr>
            <w:tcW w:type="dxa" w:w="3360"/>
            <w:shd w:fill="FFFFFF"/>
            <w:tcMar>
              <w:top w:w="40" w:type="dxa"/>
              <w:bottom w:w="40" w:type="dxa"/>
              <w:left w:w="120" w:type="dxa"/>
              <w:right w:w="120" w:type="dxa"/>
            </w:tcMar>
          </w:tcPr>
          <w:p>
            <w:r>
              <w:rPr>
                <w:sz w:val="16"/>
              </w:rPr>
              <w:t>Detailed General Ledger Extract &amp; Sub-Ledger Schedules</w:t>
            </w:r>
          </w:p>
        </w:tc>
        <w:tc>
          <w:tcPr>
            <w:tcW w:type="dxa" w:w="3360"/>
            <w:shd w:fill="FFFFFF"/>
            <w:tcMar>
              <w:top w:w="40" w:type="dxa"/>
              <w:bottom w:w="40" w:type="dxa"/>
              <w:left w:w="120" w:type="dxa"/>
              <w:right w:w="120" w:type="dxa"/>
            </w:tcMar>
          </w:tcPr>
          <w:p>
            <w:r>
              <w:rPr>
                <w:sz w:val="16"/>
              </w:rPr>
              <w:t>To inspect transaction-level entries and verify mathematical aggregation.</w:t>
            </w:r>
          </w:p>
        </w:tc>
      </w:tr>
      <w:tr>
        <w:tc>
          <w:tcPr>
            <w:tcW w:type="dxa" w:w="3360"/>
            <w:shd w:fill="F7FAFC"/>
            <w:tcMar>
              <w:top w:w="40" w:type="dxa"/>
              <w:bottom w:w="40" w:type="dxa"/>
              <w:left w:w="120" w:type="dxa"/>
              <w:right w:w="120" w:type="dxa"/>
            </w:tcMar>
          </w:tcPr>
          <w:p>
            <w:r>
              <w:rPr>
                <w:b/>
                <w:sz w:val="16"/>
              </w:rPr>
              <w:t>TOTAL INCOME</w:t>
            </w:r>
          </w:p>
        </w:tc>
        <w:tc>
          <w:tcPr>
            <w:tcW w:type="dxa" w:w="3360"/>
            <w:shd w:fill="F7FAFC"/>
            <w:tcMar>
              <w:top w:w="40" w:type="dxa"/>
              <w:bottom w:w="40" w:type="dxa"/>
              <w:left w:w="120" w:type="dxa"/>
              <w:right w:w="120" w:type="dxa"/>
            </w:tcMar>
          </w:tcPr>
          <w:p>
            <w:r>
              <w:rPr>
                <w:sz w:val="16"/>
              </w:rPr>
              <w:t>Primary Invoices, Vouchers &amp; Supporting Documents</w:t>
            </w:r>
          </w:p>
        </w:tc>
        <w:tc>
          <w:tcPr>
            <w:tcW w:type="dxa" w:w="3360"/>
            <w:shd w:fill="F7FAFC"/>
            <w:tcMar>
              <w:top w:w="40" w:type="dxa"/>
              <w:bottom w:w="40" w:type="dxa"/>
              <w:left w:w="120" w:type="dxa"/>
              <w:right w:w="120" w:type="dxa"/>
            </w:tcMar>
          </w:tcPr>
          <w:p>
            <w:r>
              <w:rPr>
                <w:sz w:val="16"/>
              </w:rPr>
              <w:t>To verify transaction authenticity, authorization, and business purpose.</w:t>
            </w:r>
          </w:p>
        </w:tc>
      </w:tr>
      <w:tr>
        <w:tc>
          <w:tcPr>
            <w:tcW w:type="dxa" w:w="3360"/>
            <w:shd w:fill="FFFFFF"/>
            <w:tcMar>
              <w:top w:w="40" w:type="dxa"/>
              <w:bottom w:w="40" w:type="dxa"/>
              <w:left w:w="120" w:type="dxa"/>
              <w:right w:w="120" w:type="dxa"/>
            </w:tcMar>
          </w:tcPr>
          <w:p>
            <w:r>
              <w:rPr>
                <w:b/>
                <w:sz w:val="16"/>
              </w:rPr>
              <w:t>TOTAL INCOME</w:t>
            </w:r>
          </w:p>
        </w:tc>
        <w:tc>
          <w:tcPr>
            <w:tcW w:type="dxa" w:w="3360"/>
            <w:shd w:fill="FFFFFF"/>
            <w:tcMar>
              <w:top w:w="40" w:type="dxa"/>
              <w:bottom w:w="40" w:type="dxa"/>
              <w:left w:w="120" w:type="dxa"/>
              <w:right w:w="120" w:type="dxa"/>
            </w:tcMar>
          </w:tcPr>
          <w:p>
            <w:r>
              <w:rPr>
                <w:sz w:val="16"/>
              </w:rPr>
              <w:t>Management Representation Letter &amp; Explanatory Working Notes</w:t>
            </w:r>
          </w:p>
        </w:tc>
        <w:tc>
          <w:tcPr>
            <w:tcW w:type="dxa" w:w="3360"/>
            <w:shd w:fill="FFFFFF"/>
            <w:tcMar>
              <w:top w:w="40" w:type="dxa"/>
              <w:bottom w:w="40" w:type="dxa"/>
              <w:left w:w="120" w:type="dxa"/>
              <w:right w:w="120" w:type="dxa"/>
            </w:tcMar>
          </w:tcPr>
          <w:p>
            <w:r>
              <w:rPr>
                <w:sz w:val="16"/>
              </w:rPr>
              <w:t>To document management rationale for the significant variance.</w:t>
            </w:r>
          </w:p>
        </w:tc>
      </w:tr>
      <w:tr>
        <w:tc>
          <w:tcPr>
            <w:tcW w:type="dxa" w:w="3360"/>
            <w:shd w:fill="F7FAFC"/>
            <w:tcMar>
              <w:top w:w="40" w:type="dxa"/>
              <w:bottom w:w="40" w:type="dxa"/>
              <w:left w:w="120" w:type="dxa"/>
              <w:right w:w="120" w:type="dxa"/>
            </w:tcMar>
          </w:tcPr>
          <w:p>
            <w:r>
              <w:rPr>
                <w:b/>
                <w:sz w:val="16"/>
              </w:rPr>
              <w:t>Revenue from Operations (Gross Sales)</w:t>
            </w:r>
          </w:p>
        </w:tc>
        <w:tc>
          <w:tcPr>
            <w:tcW w:type="dxa" w:w="3360"/>
            <w:shd w:fill="F7FAFC"/>
            <w:tcMar>
              <w:top w:w="40" w:type="dxa"/>
              <w:bottom w:w="40" w:type="dxa"/>
              <w:left w:w="120" w:type="dxa"/>
              <w:right w:w="120" w:type="dxa"/>
            </w:tcMar>
          </w:tcPr>
          <w:p>
            <w:r>
              <w:rPr>
                <w:sz w:val="16"/>
              </w:rPr>
              <w:t>Sales Register &amp; Monthly GST (GSTR-1 / GSTR-3B) Reconciliation</w:t>
            </w:r>
          </w:p>
        </w:tc>
        <w:tc>
          <w:tcPr>
            <w:tcW w:type="dxa" w:w="3360"/>
            <w:shd w:fill="F7FAFC"/>
            <w:tcMar>
              <w:top w:w="40" w:type="dxa"/>
              <w:bottom w:w="40" w:type="dxa"/>
              <w:left w:w="120" w:type="dxa"/>
              <w:right w:w="120" w:type="dxa"/>
            </w:tcMar>
          </w:tcPr>
          <w:p>
            <w:r>
              <w:rPr>
                <w:sz w:val="16"/>
              </w:rPr>
              <w:t>To verify that recorded revenue reconciles strictly with statutory tax returns and outward supply ledgers.</w:t>
            </w:r>
          </w:p>
        </w:tc>
      </w:tr>
      <w:tr>
        <w:tc>
          <w:tcPr>
            <w:tcW w:type="dxa" w:w="3360"/>
            <w:shd w:fill="FFFFFF"/>
            <w:tcMar>
              <w:top w:w="40" w:type="dxa"/>
              <w:bottom w:w="40" w:type="dxa"/>
              <w:left w:w="120" w:type="dxa"/>
              <w:right w:w="120" w:type="dxa"/>
            </w:tcMar>
          </w:tcPr>
          <w:p>
            <w:r>
              <w:rPr>
                <w:b/>
                <w:sz w:val="16"/>
              </w:rPr>
              <w:t>Revenue from Operations (Gross Sales)</w:t>
            </w:r>
          </w:p>
        </w:tc>
        <w:tc>
          <w:tcPr>
            <w:tcW w:type="dxa" w:w="3360"/>
            <w:shd w:fill="FFFFFF"/>
            <w:tcMar>
              <w:top w:w="40" w:type="dxa"/>
              <w:bottom w:w="40" w:type="dxa"/>
              <w:left w:w="120" w:type="dxa"/>
              <w:right w:w="120" w:type="dxa"/>
            </w:tcMar>
          </w:tcPr>
          <w:p>
            <w:r>
              <w:rPr>
                <w:sz w:val="16"/>
              </w:rPr>
              <w:t>Customer Contracts, Purchase Orders &amp; Sales Invoices</w:t>
            </w:r>
          </w:p>
        </w:tc>
        <w:tc>
          <w:tcPr>
            <w:tcW w:type="dxa" w:w="3360"/>
            <w:shd w:fill="FFFFFF"/>
            <w:tcMar>
              <w:top w:w="40" w:type="dxa"/>
              <w:bottom w:w="40" w:type="dxa"/>
              <w:left w:w="120" w:type="dxa"/>
              <w:right w:w="120" w:type="dxa"/>
            </w:tcMar>
          </w:tcPr>
          <w:p>
            <w:r>
              <w:rPr>
                <w:sz w:val="16"/>
              </w:rPr>
              <w:t>To verify authorization, pricing terms, delivery milestones, and correct revenue recognition under Ind AS 115 / AS 9.</w:t>
            </w:r>
          </w:p>
        </w:tc>
      </w:tr>
      <w:tr>
        <w:tc>
          <w:tcPr>
            <w:tcW w:type="dxa" w:w="3360"/>
            <w:shd w:fill="F7FAFC"/>
            <w:tcMar>
              <w:top w:w="40" w:type="dxa"/>
              <w:bottom w:w="40" w:type="dxa"/>
              <w:left w:w="120" w:type="dxa"/>
              <w:right w:w="120" w:type="dxa"/>
            </w:tcMar>
          </w:tcPr>
          <w:p>
            <w:r>
              <w:rPr>
                <w:b/>
                <w:sz w:val="16"/>
              </w:rPr>
              <w:t>Revenue from Operations (Gross Sales)</w:t>
            </w:r>
          </w:p>
        </w:tc>
        <w:tc>
          <w:tcPr>
            <w:tcW w:type="dxa" w:w="3360"/>
            <w:shd w:fill="F7FAFC"/>
            <w:tcMar>
              <w:top w:w="40" w:type="dxa"/>
              <w:bottom w:w="40" w:type="dxa"/>
              <w:left w:w="120" w:type="dxa"/>
              <w:right w:w="120" w:type="dxa"/>
            </w:tcMar>
          </w:tcPr>
          <w:p>
            <w:r>
              <w:rPr>
                <w:sz w:val="16"/>
              </w:rPr>
              <w:t>Goods Outward / Delivery Challans / Transporter LRs</w:t>
            </w:r>
          </w:p>
        </w:tc>
        <w:tc>
          <w:tcPr>
            <w:tcW w:type="dxa" w:w="3360"/>
            <w:shd w:fill="F7FAFC"/>
            <w:tcMar>
              <w:top w:w="40" w:type="dxa"/>
              <w:bottom w:w="40" w:type="dxa"/>
              <w:left w:w="120" w:type="dxa"/>
              <w:right w:w="120" w:type="dxa"/>
            </w:tcMar>
          </w:tcPr>
          <w:p>
            <w:r>
              <w:rPr>
                <w:sz w:val="16"/>
              </w:rPr>
              <w:t>To corroborate actual physical dispatch of goods and transfer of risks and rewards prior to period end.</w:t>
            </w:r>
          </w:p>
        </w:tc>
      </w:tr>
      <w:tr>
        <w:tc>
          <w:tcPr>
            <w:tcW w:type="dxa" w:w="3360"/>
            <w:shd w:fill="FFFFFF"/>
            <w:tcMar>
              <w:top w:w="40" w:type="dxa"/>
              <w:bottom w:w="40" w:type="dxa"/>
              <w:left w:w="120" w:type="dxa"/>
              <w:right w:w="120" w:type="dxa"/>
            </w:tcMar>
          </w:tcPr>
          <w:p>
            <w:r>
              <w:rPr>
                <w:b/>
                <w:sz w:val="16"/>
              </w:rPr>
              <w:t>Revenue from Operations (Gross Sales)</w:t>
            </w:r>
          </w:p>
        </w:tc>
        <w:tc>
          <w:tcPr>
            <w:tcW w:type="dxa" w:w="3360"/>
            <w:shd w:fill="FFFFFF"/>
            <w:tcMar>
              <w:top w:w="40" w:type="dxa"/>
              <w:bottom w:w="40" w:type="dxa"/>
              <w:left w:w="120" w:type="dxa"/>
              <w:right w:w="120" w:type="dxa"/>
            </w:tcMar>
          </w:tcPr>
          <w:p>
            <w:r>
              <w:rPr>
                <w:sz w:val="16"/>
              </w:rPr>
              <w:t>Cut-off Testing Documentation (5 days before &amp; after year-end)</w:t>
            </w:r>
          </w:p>
        </w:tc>
        <w:tc>
          <w:tcPr>
            <w:tcW w:type="dxa" w:w="3360"/>
            <w:shd w:fill="FFFFFF"/>
            <w:tcMar>
              <w:top w:w="40" w:type="dxa"/>
              <w:bottom w:w="40" w:type="dxa"/>
              <w:left w:w="120" w:type="dxa"/>
              <w:right w:w="120" w:type="dxa"/>
            </w:tcMar>
          </w:tcPr>
          <w:p>
            <w:r>
              <w:rPr>
                <w:sz w:val="16"/>
              </w:rPr>
              <w:t>To ensure sales and returns are recorded in the appropriate accounting period and avoid early cutoff inflation.</w:t>
            </w:r>
          </w:p>
        </w:tc>
      </w:tr>
      <w:tr>
        <w:tc>
          <w:tcPr>
            <w:tcW w:type="dxa" w:w="3360"/>
            <w:shd w:fill="F7FAFC"/>
            <w:tcMar>
              <w:top w:w="40" w:type="dxa"/>
              <w:bottom w:w="40" w:type="dxa"/>
              <w:left w:w="120" w:type="dxa"/>
              <w:right w:w="120" w:type="dxa"/>
            </w:tcMar>
          </w:tcPr>
          <w:p>
            <w:r>
              <w:rPr>
                <w:b/>
                <w:sz w:val="16"/>
              </w:rPr>
              <w:t>Revenue from Operations (Gross Sales)</w:t>
            </w:r>
          </w:p>
        </w:tc>
        <w:tc>
          <w:tcPr>
            <w:tcW w:type="dxa" w:w="3360"/>
            <w:shd w:fill="F7FAFC"/>
            <w:tcMar>
              <w:top w:w="40" w:type="dxa"/>
              <w:bottom w:w="40" w:type="dxa"/>
              <w:left w:w="120" w:type="dxa"/>
              <w:right w:w="120" w:type="dxa"/>
            </w:tcMar>
          </w:tcPr>
          <w:p>
            <w:r>
              <w:rPr>
                <w:sz w:val="16"/>
              </w:rPr>
              <w:t>Subsequent Period Credit Notes &amp; Sales Returns Register</w:t>
            </w:r>
          </w:p>
        </w:tc>
        <w:tc>
          <w:tcPr>
            <w:tcW w:type="dxa" w:w="3360"/>
            <w:shd w:fill="F7FAFC"/>
            <w:tcMar>
              <w:top w:w="40" w:type="dxa"/>
              <w:bottom w:w="40" w:type="dxa"/>
              <w:left w:w="120" w:type="dxa"/>
              <w:right w:w="120" w:type="dxa"/>
            </w:tcMar>
          </w:tcPr>
          <w:p>
            <w:r>
              <w:rPr>
                <w:sz w:val="16"/>
              </w:rPr>
              <w:t>To verify whether significant sales booked before year-end were reversed post balance sheet date.</w:t>
            </w:r>
          </w:p>
        </w:tc>
      </w:tr>
      <w:tr>
        <w:tc>
          <w:tcPr>
            <w:tcW w:type="dxa" w:w="3360"/>
            <w:shd w:fill="FFFFFF"/>
            <w:tcMar>
              <w:top w:w="40" w:type="dxa"/>
              <w:bottom w:w="40" w:type="dxa"/>
              <w:left w:w="120" w:type="dxa"/>
              <w:right w:w="120" w:type="dxa"/>
            </w:tcMar>
          </w:tcPr>
          <w:p>
            <w:r>
              <w:rPr>
                <w:b/>
                <w:sz w:val="16"/>
              </w:rPr>
              <w:t>TOTAL EXPENSES</w:t>
            </w:r>
          </w:p>
        </w:tc>
        <w:tc>
          <w:tcPr>
            <w:tcW w:type="dxa" w:w="3360"/>
            <w:shd w:fill="FFFFFF"/>
            <w:tcMar>
              <w:top w:w="40" w:type="dxa"/>
              <w:bottom w:w="40" w:type="dxa"/>
              <w:left w:w="120" w:type="dxa"/>
              <w:right w:w="120" w:type="dxa"/>
            </w:tcMar>
          </w:tcPr>
          <w:p>
            <w:r>
              <w:rPr>
                <w:sz w:val="16"/>
              </w:rPr>
              <w:t>Detailed General Ledger Extract &amp; Sub-Ledger Schedules</w:t>
            </w:r>
          </w:p>
        </w:tc>
        <w:tc>
          <w:tcPr>
            <w:tcW w:type="dxa" w:w="3360"/>
            <w:shd w:fill="FFFFFF"/>
            <w:tcMar>
              <w:top w:w="40" w:type="dxa"/>
              <w:bottom w:w="40" w:type="dxa"/>
              <w:left w:w="120" w:type="dxa"/>
              <w:right w:w="120" w:type="dxa"/>
            </w:tcMar>
          </w:tcPr>
          <w:p>
            <w:r>
              <w:rPr>
                <w:sz w:val="16"/>
              </w:rPr>
              <w:t>To inspect transaction-level entries and verify mathematical aggregation.</w:t>
            </w:r>
          </w:p>
        </w:tc>
      </w:tr>
      <w:tr>
        <w:tc>
          <w:tcPr>
            <w:tcW w:type="dxa" w:w="3360"/>
            <w:shd w:fill="F7FAFC"/>
            <w:tcMar>
              <w:top w:w="40" w:type="dxa"/>
              <w:bottom w:w="40" w:type="dxa"/>
              <w:left w:w="120" w:type="dxa"/>
              <w:right w:w="120" w:type="dxa"/>
            </w:tcMar>
          </w:tcPr>
          <w:p>
            <w:r>
              <w:rPr>
                <w:b/>
                <w:sz w:val="16"/>
              </w:rPr>
              <w:t>TOTAL EXPENSES</w:t>
            </w:r>
          </w:p>
        </w:tc>
        <w:tc>
          <w:tcPr>
            <w:tcW w:type="dxa" w:w="3360"/>
            <w:shd w:fill="F7FAFC"/>
            <w:tcMar>
              <w:top w:w="40" w:type="dxa"/>
              <w:bottom w:w="40" w:type="dxa"/>
              <w:left w:w="120" w:type="dxa"/>
              <w:right w:w="120" w:type="dxa"/>
            </w:tcMar>
          </w:tcPr>
          <w:p>
            <w:r>
              <w:rPr>
                <w:sz w:val="16"/>
              </w:rPr>
              <w:t>Primary Invoices, Vouchers &amp; Supporting Documents</w:t>
            </w:r>
          </w:p>
        </w:tc>
        <w:tc>
          <w:tcPr>
            <w:tcW w:type="dxa" w:w="3360"/>
            <w:shd w:fill="F7FAFC"/>
            <w:tcMar>
              <w:top w:w="40" w:type="dxa"/>
              <w:bottom w:w="40" w:type="dxa"/>
              <w:left w:w="120" w:type="dxa"/>
              <w:right w:w="120" w:type="dxa"/>
            </w:tcMar>
          </w:tcPr>
          <w:p>
            <w:r>
              <w:rPr>
                <w:sz w:val="16"/>
              </w:rPr>
              <w:t>To verify transaction authenticity, authorization, and business purpose.</w:t>
            </w:r>
          </w:p>
        </w:tc>
      </w:tr>
      <w:tr>
        <w:tc>
          <w:tcPr>
            <w:tcW w:type="dxa" w:w="3360"/>
            <w:shd w:fill="FFFFFF"/>
            <w:tcMar>
              <w:top w:w="40" w:type="dxa"/>
              <w:bottom w:w="40" w:type="dxa"/>
              <w:left w:w="120" w:type="dxa"/>
              <w:right w:w="120" w:type="dxa"/>
            </w:tcMar>
          </w:tcPr>
          <w:p>
            <w:r>
              <w:rPr>
                <w:b/>
                <w:sz w:val="16"/>
              </w:rPr>
              <w:t>TOTAL EXPENSES</w:t>
            </w:r>
          </w:p>
        </w:tc>
        <w:tc>
          <w:tcPr>
            <w:tcW w:type="dxa" w:w="3360"/>
            <w:shd w:fill="FFFFFF"/>
            <w:tcMar>
              <w:top w:w="40" w:type="dxa"/>
              <w:bottom w:w="40" w:type="dxa"/>
              <w:left w:w="120" w:type="dxa"/>
              <w:right w:w="120" w:type="dxa"/>
            </w:tcMar>
          </w:tcPr>
          <w:p>
            <w:r>
              <w:rPr>
                <w:sz w:val="16"/>
              </w:rPr>
              <w:t>Management Representation Letter &amp; Explanatory Working Notes</w:t>
            </w:r>
          </w:p>
        </w:tc>
        <w:tc>
          <w:tcPr>
            <w:tcW w:type="dxa" w:w="3360"/>
            <w:shd w:fill="FFFFFF"/>
            <w:tcMar>
              <w:top w:w="40" w:type="dxa"/>
              <w:bottom w:w="40" w:type="dxa"/>
              <w:left w:w="120" w:type="dxa"/>
              <w:right w:w="120" w:type="dxa"/>
            </w:tcMar>
          </w:tcPr>
          <w:p>
            <w:r>
              <w:rPr>
                <w:sz w:val="16"/>
              </w:rPr>
              <w:t>To document management rationale for the significant variance.</w:t>
            </w:r>
          </w:p>
        </w:tc>
      </w:tr>
      <w:tr>
        <w:tc>
          <w:tcPr>
            <w:tcW w:type="dxa" w:w="3360"/>
            <w:shd w:fill="F7FAFC"/>
            <w:tcMar>
              <w:top w:w="40" w:type="dxa"/>
              <w:bottom w:w="40" w:type="dxa"/>
              <w:left w:w="120" w:type="dxa"/>
              <w:right w:w="120" w:type="dxa"/>
            </w:tcMar>
          </w:tcPr>
          <w:p>
            <w:r>
              <w:rPr>
                <w:b/>
                <w:sz w:val="16"/>
              </w:rPr>
              <w:t>TOTAL EQUITY AND LIABILITIES</w:t>
            </w:r>
          </w:p>
        </w:tc>
        <w:tc>
          <w:tcPr>
            <w:tcW w:type="dxa" w:w="3360"/>
            <w:shd w:fill="F7FAFC"/>
            <w:tcMar>
              <w:top w:w="40" w:type="dxa"/>
              <w:bottom w:w="40" w:type="dxa"/>
              <w:left w:w="120" w:type="dxa"/>
              <w:right w:w="120" w:type="dxa"/>
            </w:tcMar>
          </w:tcPr>
          <w:p>
            <w:r>
              <w:rPr>
                <w:sz w:val="16"/>
              </w:rPr>
              <w:t>Detailed General Ledger Extract &amp; Sub-Ledger Schedules</w:t>
            </w:r>
          </w:p>
        </w:tc>
        <w:tc>
          <w:tcPr>
            <w:tcW w:type="dxa" w:w="3360"/>
            <w:shd w:fill="F7FAFC"/>
            <w:tcMar>
              <w:top w:w="40" w:type="dxa"/>
              <w:bottom w:w="40" w:type="dxa"/>
              <w:left w:w="120" w:type="dxa"/>
              <w:right w:w="120" w:type="dxa"/>
            </w:tcMar>
          </w:tcPr>
          <w:p>
            <w:r>
              <w:rPr>
                <w:sz w:val="16"/>
              </w:rPr>
              <w:t>To inspect transaction-level entries and verify mathematical aggregation.</w:t>
            </w:r>
          </w:p>
        </w:tc>
      </w:tr>
      <w:tr>
        <w:tc>
          <w:tcPr>
            <w:tcW w:type="dxa" w:w="3360"/>
            <w:shd w:fill="FFFFFF"/>
            <w:tcMar>
              <w:top w:w="40" w:type="dxa"/>
              <w:bottom w:w="40" w:type="dxa"/>
              <w:left w:w="120" w:type="dxa"/>
              <w:right w:w="120" w:type="dxa"/>
            </w:tcMar>
          </w:tcPr>
          <w:p>
            <w:r>
              <w:rPr>
                <w:b/>
                <w:sz w:val="16"/>
              </w:rPr>
              <w:t>TOTAL EQUITY AND LIABILITIES</w:t>
            </w:r>
          </w:p>
        </w:tc>
        <w:tc>
          <w:tcPr>
            <w:tcW w:type="dxa" w:w="3360"/>
            <w:shd w:fill="FFFFFF"/>
            <w:tcMar>
              <w:top w:w="40" w:type="dxa"/>
              <w:bottom w:w="40" w:type="dxa"/>
              <w:left w:w="120" w:type="dxa"/>
              <w:right w:w="120" w:type="dxa"/>
            </w:tcMar>
          </w:tcPr>
          <w:p>
            <w:r>
              <w:rPr>
                <w:sz w:val="16"/>
              </w:rPr>
              <w:t>Primary Invoices, Vouchers &amp; Supporting Documents</w:t>
            </w:r>
          </w:p>
        </w:tc>
        <w:tc>
          <w:tcPr>
            <w:tcW w:type="dxa" w:w="3360"/>
            <w:shd w:fill="FFFFFF"/>
            <w:tcMar>
              <w:top w:w="40" w:type="dxa"/>
              <w:bottom w:w="40" w:type="dxa"/>
              <w:left w:w="120" w:type="dxa"/>
              <w:right w:w="120" w:type="dxa"/>
            </w:tcMar>
          </w:tcPr>
          <w:p>
            <w:r>
              <w:rPr>
                <w:sz w:val="16"/>
              </w:rPr>
              <w:t>To verify transaction authenticity, authorization, and business purpose.</w:t>
            </w:r>
          </w:p>
        </w:tc>
      </w:tr>
      <w:tr>
        <w:tc>
          <w:tcPr>
            <w:tcW w:type="dxa" w:w="3360"/>
            <w:shd w:fill="F7FAFC"/>
            <w:tcMar>
              <w:top w:w="40" w:type="dxa"/>
              <w:bottom w:w="40" w:type="dxa"/>
              <w:left w:w="120" w:type="dxa"/>
              <w:right w:w="120" w:type="dxa"/>
            </w:tcMar>
          </w:tcPr>
          <w:p>
            <w:r>
              <w:rPr>
                <w:b/>
                <w:sz w:val="16"/>
              </w:rPr>
              <w:t>TOTAL EQUITY AND LIABILITIES</w:t>
            </w:r>
          </w:p>
        </w:tc>
        <w:tc>
          <w:tcPr>
            <w:tcW w:type="dxa" w:w="3360"/>
            <w:shd w:fill="F7FAFC"/>
            <w:tcMar>
              <w:top w:w="40" w:type="dxa"/>
              <w:bottom w:w="40" w:type="dxa"/>
              <w:left w:w="120" w:type="dxa"/>
              <w:right w:w="120" w:type="dxa"/>
            </w:tcMar>
          </w:tcPr>
          <w:p>
            <w:r>
              <w:rPr>
                <w:sz w:val="16"/>
              </w:rPr>
              <w:t>Management Representation Letter &amp; Explanatory Working Notes</w:t>
            </w:r>
          </w:p>
        </w:tc>
        <w:tc>
          <w:tcPr>
            <w:tcW w:type="dxa" w:w="3360"/>
            <w:shd w:fill="F7FAFC"/>
            <w:tcMar>
              <w:top w:w="40" w:type="dxa"/>
              <w:bottom w:w="40" w:type="dxa"/>
              <w:left w:w="120" w:type="dxa"/>
              <w:right w:w="120" w:type="dxa"/>
            </w:tcMar>
          </w:tcPr>
          <w:p>
            <w:r>
              <w:rPr>
                <w:sz w:val="16"/>
              </w:rPr>
              <w:t>To document management rationale for the significant variance.</w:t>
            </w:r>
          </w:p>
        </w:tc>
      </w:tr>
      <w:tr>
        <w:tc>
          <w:tcPr>
            <w:tcW w:type="dxa" w:w="3360"/>
            <w:shd w:fill="FFFFFF"/>
            <w:tcMar>
              <w:top w:w="40" w:type="dxa"/>
              <w:bottom w:w="40" w:type="dxa"/>
              <w:left w:w="120" w:type="dxa"/>
              <w:right w:w="120" w:type="dxa"/>
            </w:tcMar>
          </w:tcPr>
          <w:p>
            <w:r>
              <w:rPr>
                <w:b/>
                <w:sz w:val="16"/>
              </w:rPr>
              <w:t>TOTAL ASSETS</w:t>
            </w:r>
          </w:p>
        </w:tc>
        <w:tc>
          <w:tcPr>
            <w:tcW w:type="dxa" w:w="3360"/>
            <w:shd w:fill="FFFFFF"/>
            <w:tcMar>
              <w:top w:w="40" w:type="dxa"/>
              <w:bottom w:w="40" w:type="dxa"/>
              <w:left w:w="120" w:type="dxa"/>
              <w:right w:w="120" w:type="dxa"/>
            </w:tcMar>
          </w:tcPr>
          <w:p>
            <w:r>
              <w:rPr>
                <w:sz w:val="16"/>
              </w:rPr>
              <w:t>Fixed Asset Register (FAR) &amp; Asset Capitalization Vouchers</w:t>
            </w:r>
          </w:p>
        </w:tc>
        <w:tc>
          <w:tcPr>
            <w:tcW w:type="dxa" w:w="3360"/>
            <w:shd w:fill="FFFFFF"/>
            <w:tcMar>
              <w:top w:w="40" w:type="dxa"/>
              <w:bottom w:w="40" w:type="dxa"/>
              <w:left w:w="120" w:type="dxa"/>
              <w:right w:w="120" w:type="dxa"/>
            </w:tcMar>
          </w:tcPr>
          <w:p>
            <w:r>
              <w:rPr>
                <w:sz w:val="16"/>
              </w:rPr>
              <w:t>To confirm quantitative details, cost components, installation date, and asset location.</w:t>
            </w:r>
          </w:p>
        </w:tc>
      </w:tr>
      <w:tr>
        <w:tc>
          <w:tcPr>
            <w:tcW w:type="dxa" w:w="3360"/>
            <w:shd w:fill="F7FAFC"/>
            <w:tcMar>
              <w:top w:w="40" w:type="dxa"/>
              <w:bottom w:w="40" w:type="dxa"/>
              <w:left w:w="120" w:type="dxa"/>
              <w:right w:w="120" w:type="dxa"/>
            </w:tcMar>
          </w:tcPr>
          <w:p>
            <w:r>
              <w:rPr>
                <w:b/>
                <w:sz w:val="16"/>
              </w:rPr>
              <w:t>TOTAL ASSETS</w:t>
            </w:r>
          </w:p>
        </w:tc>
        <w:tc>
          <w:tcPr>
            <w:tcW w:type="dxa" w:w="3360"/>
            <w:shd w:fill="F7FAFC"/>
            <w:tcMar>
              <w:top w:w="40" w:type="dxa"/>
              <w:bottom w:w="40" w:type="dxa"/>
              <w:left w:w="120" w:type="dxa"/>
              <w:right w:w="120" w:type="dxa"/>
            </w:tcMar>
          </w:tcPr>
          <w:p>
            <w:r>
              <w:rPr>
                <w:sz w:val="16"/>
              </w:rPr>
              <w:t>Vendor Invoices, Purchase Orders &amp; Installation Certificates</w:t>
            </w:r>
          </w:p>
        </w:tc>
        <w:tc>
          <w:tcPr>
            <w:tcW w:type="dxa" w:w="3360"/>
            <w:shd w:fill="F7FAFC"/>
            <w:tcMar>
              <w:top w:w="40" w:type="dxa"/>
              <w:bottom w:w="40" w:type="dxa"/>
              <w:left w:w="120" w:type="dxa"/>
              <w:right w:w="120" w:type="dxa"/>
            </w:tcMar>
          </w:tcPr>
          <w:p>
            <w:r>
              <w:rPr>
                <w:sz w:val="16"/>
              </w:rPr>
              <w:t>To verify cost elements and ensure operational readiness before capitalization.</w:t>
            </w:r>
          </w:p>
        </w:tc>
      </w:tr>
      <w:tr>
        <w:tc>
          <w:tcPr>
            <w:tcW w:type="dxa" w:w="3360"/>
            <w:shd w:fill="FFFFFF"/>
            <w:tcMar>
              <w:top w:w="40" w:type="dxa"/>
              <w:bottom w:w="40" w:type="dxa"/>
              <w:left w:w="120" w:type="dxa"/>
              <w:right w:w="120" w:type="dxa"/>
            </w:tcMar>
          </w:tcPr>
          <w:p>
            <w:r>
              <w:rPr>
                <w:b/>
                <w:sz w:val="16"/>
              </w:rPr>
              <w:t>TOTAL ASSETS</w:t>
            </w:r>
          </w:p>
        </w:tc>
        <w:tc>
          <w:tcPr>
            <w:tcW w:type="dxa" w:w="3360"/>
            <w:shd w:fill="FFFFFF"/>
            <w:tcMar>
              <w:top w:w="40" w:type="dxa"/>
              <w:bottom w:w="40" w:type="dxa"/>
              <w:left w:w="120" w:type="dxa"/>
              <w:right w:w="120" w:type="dxa"/>
            </w:tcMar>
          </w:tcPr>
          <w:p>
            <w:r>
              <w:rPr>
                <w:sz w:val="16"/>
              </w:rPr>
              <w:t>Physical Verification of Fixed Assets Report</w:t>
            </w:r>
          </w:p>
        </w:tc>
        <w:tc>
          <w:tcPr>
            <w:tcW w:type="dxa" w:w="3360"/>
            <w:shd w:fill="FFFFFF"/>
            <w:tcMar>
              <w:top w:w="40" w:type="dxa"/>
              <w:bottom w:w="40" w:type="dxa"/>
              <w:left w:w="120" w:type="dxa"/>
              <w:right w:w="120" w:type="dxa"/>
            </w:tcMar>
          </w:tcPr>
          <w:p>
            <w:r>
              <w:rPr>
                <w:sz w:val="16"/>
              </w:rPr>
              <w:t>To confirm physical existence, condition, and reconciliation with FAR.</w:t>
            </w:r>
          </w:p>
        </w:tc>
      </w:tr>
      <w:tr>
        <w:tc>
          <w:tcPr>
            <w:tcW w:type="dxa" w:w="3360"/>
            <w:shd w:fill="F7FAFC"/>
            <w:tcMar>
              <w:top w:w="40" w:type="dxa"/>
              <w:bottom w:w="40" w:type="dxa"/>
              <w:left w:w="120" w:type="dxa"/>
              <w:right w:w="120" w:type="dxa"/>
            </w:tcMar>
          </w:tcPr>
          <w:p>
            <w:r>
              <w:rPr>
                <w:b/>
                <w:sz w:val="16"/>
              </w:rPr>
              <w:t>TOTAL ASSETS</w:t>
            </w:r>
          </w:p>
        </w:tc>
        <w:tc>
          <w:tcPr>
            <w:tcW w:type="dxa" w:w="3360"/>
            <w:shd w:fill="F7FAFC"/>
            <w:tcMar>
              <w:top w:w="40" w:type="dxa"/>
              <w:bottom w:w="40" w:type="dxa"/>
              <w:left w:w="120" w:type="dxa"/>
              <w:right w:w="120" w:type="dxa"/>
            </w:tcMar>
          </w:tcPr>
          <w:p>
            <w:r>
              <w:rPr>
                <w:sz w:val="16"/>
              </w:rPr>
              <w:t>Title Deeds / Sale Deeds / Municipal Tax Receipts</w:t>
            </w:r>
          </w:p>
        </w:tc>
        <w:tc>
          <w:tcPr>
            <w:tcW w:type="dxa" w:w="3360"/>
            <w:shd w:fill="F7FAFC"/>
            <w:tcMar>
              <w:top w:w="40" w:type="dxa"/>
              <w:bottom w:w="40" w:type="dxa"/>
              <w:left w:w="120" w:type="dxa"/>
              <w:right w:w="120" w:type="dxa"/>
            </w:tcMar>
          </w:tcPr>
          <w:p>
            <w:r>
              <w:rPr>
                <w:sz w:val="16"/>
              </w:rPr>
              <w:t>To verify legal title and ownership of immovable properties.</w:t>
            </w:r>
          </w:p>
        </w:tc>
      </w:tr>
      <w:tr>
        <w:tc>
          <w:tcPr>
            <w:tcW w:type="dxa" w:w="3360"/>
            <w:shd w:fill="FFFFFF"/>
            <w:tcMar>
              <w:top w:w="40" w:type="dxa"/>
              <w:bottom w:w="40" w:type="dxa"/>
              <w:left w:w="120" w:type="dxa"/>
              <w:right w:w="120" w:type="dxa"/>
            </w:tcMar>
          </w:tcPr>
          <w:p>
            <w:r>
              <w:rPr>
                <w:b/>
                <w:sz w:val="16"/>
              </w:rPr>
              <w:t>TOTAL ASSETS</w:t>
            </w:r>
          </w:p>
        </w:tc>
        <w:tc>
          <w:tcPr>
            <w:tcW w:type="dxa" w:w="3360"/>
            <w:shd w:fill="FFFFFF"/>
            <w:tcMar>
              <w:top w:w="40" w:type="dxa"/>
              <w:bottom w:w="40" w:type="dxa"/>
              <w:left w:w="120" w:type="dxa"/>
              <w:right w:w="120" w:type="dxa"/>
            </w:tcMar>
          </w:tcPr>
          <w:p>
            <w:r>
              <w:rPr>
                <w:sz w:val="16"/>
              </w:rPr>
              <w:t>Depreciation Working Sheets</w:t>
            </w:r>
          </w:p>
        </w:tc>
        <w:tc>
          <w:tcPr>
            <w:tcW w:type="dxa" w:w="3360"/>
            <w:shd w:fill="FFFFFF"/>
            <w:tcMar>
              <w:top w:w="40" w:type="dxa"/>
              <w:bottom w:w="40" w:type="dxa"/>
              <w:left w:w="120" w:type="dxa"/>
              <w:right w:w="120" w:type="dxa"/>
            </w:tcMar>
          </w:tcPr>
          <w:p>
            <w:r>
              <w:rPr>
                <w:sz w:val="16"/>
              </w:rPr>
              <w:t>To verify calculation as per useful lives prescribed in Schedule II of Companies Act, 2013.</w:t>
            </w:r>
          </w:p>
        </w:tc>
      </w:tr>
      <w:tr>
        <w:tc>
          <w:tcPr>
            <w:tcW w:type="dxa" w:w="3360"/>
            <w:shd w:fill="F7FAFC"/>
            <w:tcMar>
              <w:top w:w="40" w:type="dxa"/>
              <w:bottom w:w="40" w:type="dxa"/>
              <w:left w:w="120" w:type="dxa"/>
              <w:right w:w="120" w:type="dxa"/>
            </w:tcMar>
          </w:tcPr>
          <w:p>
            <w:r>
              <w:rPr>
                <w:b/>
                <w:sz w:val="16"/>
              </w:rPr>
              <w:t>Cost of Materials Consumed</w:t>
            </w:r>
          </w:p>
        </w:tc>
        <w:tc>
          <w:tcPr>
            <w:tcW w:type="dxa" w:w="3360"/>
            <w:shd w:fill="F7FAFC"/>
            <w:tcMar>
              <w:top w:w="40" w:type="dxa"/>
              <w:bottom w:w="40" w:type="dxa"/>
              <w:left w:w="120" w:type="dxa"/>
              <w:right w:w="120" w:type="dxa"/>
            </w:tcMar>
          </w:tcPr>
          <w:p>
            <w:r>
              <w:rPr>
                <w:sz w:val="16"/>
              </w:rPr>
              <w:t>Detailed General Ledger Extract &amp; Sub-Ledger Schedules</w:t>
            </w:r>
          </w:p>
        </w:tc>
        <w:tc>
          <w:tcPr>
            <w:tcW w:type="dxa" w:w="3360"/>
            <w:shd w:fill="F7FAFC"/>
            <w:tcMar>
              <w:top w:w="40" w:type="dxa"/>
              <w:bottom w:w="40" w:type="dxa"/>
              <w:left w:w="120" w:type="dxa"/>
              <w:right w:w="120" w:type="dxa"/>
            </w:tcMar>
          </w:tcPr>
          <w:p>
            <w:r>
              <w:rPr>
                <w:sz w:val="16"/>
              </w:rPr>
              <w:t>To inspect transaction-level entries and verify mathematical aggregation.</w:t>
            </w:r>
          </w:p>
        </w:tc>
      </w:tr>
      <w:tr>
        <w:tc>
          <w:tcPr>
            <w:tcW w:type="dxa" w:w="3360"/>
            <w:shd w:fill="FFFFFF"/>
            <w:tcMar>
              <w:top w:w="40" w:type="dxa"/>
              <w:bottom w:w="40" w:type="dxa"/>
              <w:left w:w="120" w:type="dxa"/>
              <w:right w:w="120" w:type="dxa"/>
            </w:tcMar>
          </w:tcPr>
          <w:p>
            <w:r>
              <w:rPr>
                <w:b/>
                <w:sz w:val="16"/>
              </w:rPr>
              <w:t>Cost of Materials Consumed</w:t>
            </w:r>
          </w:p>
        </w:tc>
        <w:tc>
          <w:tcPr>
            <w:tcW w:type="dxa" w:w="3360"/>
            <w:shd w:fill="FFFFFF"/>
            <w:tcMar>
              <w:top w:w="40" w:type="dxa"/>
              <w:bottom w:w="40" w:type="dxa"/>
              <w:left w:w="120" w:type="dxa"/>
              <w:right w:w="120" w:type="dxa"/>
            </w:tcMar>
          </w:tcPr>
          <w:p>
            <w:r>
              <w:rPr>
                <w:sz w:val="16"/>
              </w:rPr>
              <w:t>Primary Invoices, Vouchers &amp; Supporting Documents</w:t>
            </w:r>
          </w:p>
        </w:tc>
        <w:tc>
          <w:tcPr>
            <w:tcW w:type="dxa" w:w="3360"/>
            <w:shd w:fill="FFFFFF"/>
            <w:tcMar>
              <w:top w:w="40" w:type="dxa"/>
              <w:bottom w:w="40" w:type="dxa"/>
              <w:left w:w="120" w:type="dxa"/>
              <w:right w:w="120" w:type="dxa"/>
            </w:tcMar>
          </w:tcPr>
          <w:p>
            <w:r>
              <w:rPr>
                <w:sz w:val="16"/>
              </w:rPr>
              <w:t>To verify transaction authenticity, authorization, and business purpose.</w:t>
            </w:r>
          </w:p>
        </w:tc>
      </w:tr>
      <w:tr>
        <w:tc>
          <w:tcPr>
            <w:tcW w:type="dxa" w:w="3360"/>
            <w:shd w:fill="F7FAFC"/>
            <w:tcMar>
              <w:top w:w="40" w:type="dxa"/>
              <w:bottom w:w="40" w:type="dxa"/>
              <w:left w:w="120" w:type="dxa"/>
              <w:right w:w="120" w:type="dxa"/>
            </w:tcMar>
          </w:tcPr>
          <w:p>
            <w:r>
              <w:rPr>
                <w:b/>
                <w:sz w:val="16"/>
              </w:rPr>
              <w:t>Cost of Materials Consumed</w:t>
            </w:r>
          </w:p>
        </w:tc>
        <w:tc>
          <w:tcPr>
            <w:tcW w:type="dxa" w:w="3360"/>
            <w:shd w:fill="F7FAFC"/>
            <w:tcMar>
              <w:top w:w="40" w:type="dxa"/>
              <w:bottom w:w="40" w:type="dxa"/>
              <w:left w:w="120" w:type="dxa"/>
              <w:right w:w="120" w:type="dxa"/>
            </w:tcMar>
          </w:tcPr>
          <w:p>
            <w:r>
              <w:rPr>
                <w:sz w:val="16"/>
              </w:rPr>
              <w:t>Management Representation Letter &amp; Explanatory Working Notes</w:t>
            </w:r>
          </w:p>
        </w:tc>
        <w:tc>
          <w:tcPr>
            <w:tcW w:type="dxa" w:w="3360"/>
            <w:shd w:fill="F7FAFC"/>
            <w:tcMar>
              <w:top w:w="40" w:type="dxa"/>
              <w:bottom w:w="40" w:type="dxa"/>
              <w:left w:w="120" w:type="dxa"/>
              <w:right w:w="120" w:type="dxa"/>
            </w:tcMar>
          </w:tcPr>
          <w:p>
            <w:r>
              <w:rPr>
                <w:sz w:val="16"/>
              </w:rPr>
              <w:t>To document management rationale for the significant variance.</w:t>
            </w:r>
          </w:p>
        </w:tc>
      </w:tr>
      <w:tr>
        <w:tc>
          <w:tcPr>
            <w:tcW w:type="dxa" w:w="3360"/>
            <w:shd w:fill="FFFFFF"/>
            <w:tcMar>
              <w:top w:w="40" w:type="dxa"/>
              <w:bottom w:w="40" w:type="dxa"/>
              <w:left w:w="120" w:type="dxa"/>
              <w:right w:w="120" w:type="dxa"/>
            </w:tcMar>
          </w:tcPr>
          <w:p>
            <w:r>
              <w:rPr>
                <w:b/>
                <w:sz w:val="16"/>
              </w:rPr>
              <w:t>Property, Plant and Equipment (Gross Block)</w:t>
            </w:r>
          </w:p>
        </w:tc>
        <w:tc>
          <w:tcPr>
            <w:tcW w:type="dxa" w:w="3360"/>
            <w:shd w:fill="FFFFFF"/>
            <w:tcMar>
              <w:top w:w="40" w:type="dxa"/>
              <w:bottom w:w="40" w:type="dxa"/>
              <w:left w:w="120" w:type="dxa"/>
              <w:right w:w="120" w:type="dxa"/>
            </w:tcMar>
          </w:tcPr>
          <w:p>
            <w:r>
              <w:rPr>
                <w:sz w:val="16"/>
              </w:rPr>
              <w:t>Fixed Asset Register (FAR) &amp; Asset Capitalization Vouchers</w:t>
            </w:r>
          </w:p>
        </w:tc>
        <w:tc>
          <w:tcPr>
            <w:tcW w:type="dxa" w:w="3360"/>
            <w:shd w:fill="FFFFFF"/>
            <w:tcMar>
              <w:top w:w="40" w:type="dxa"/>
              <w:bottom w:w="40" w:type="dxa"/>
              <w:left w:w="120" w:type="dxa"/>
              <w:right w:w="120" w:type="dxa"/>
            </w:tcMar>
          </w:tcPr>
          <w:p>
            <w:r>
              <w:rPr>
                <w:sz w:val="16"/>
              </w:rPr>
              <w:t>To confirm quantitative details, cost components, installation date, and asset location.</w:t>
            </w:r>
          </w:p>
        </w:tc>
      </w:tr>
      <w:tr>
        <w:tc>
          <w:tcPr>
            <w:tcW w:type="dxa" w:w="3360"/>
            <w:shd w:fill="F7FAFC"/>
            <w:tcMar>
              <w:top w:w="40" w:type="dxa"/>
              <w:bottom w:w="40" w:type="dxa"/>
              <w:left w:w="120" w:type="dxa"/>
              <w:right w:w="120" w:type="dxa"/>
            </w:tcMar>
          </w:tcPr>
          <w:p>
            <w:r>
              <w:rPr>
                <w:b/>
                <w:sz w:val="16"/>
              </w:rPr>
              <w:t>Property, Plant and Equipment (Gross Block)</w:t>
            </w:r>
          </w:p>
        </w:tc>
        <w:tc>
          <w:tcPr>
            <w:tcW w:type="dxa" w:w="3360"/>
            <w:shd w:fill="F7FAFC"/>
            <w:tcMar>
              <w:top w:w="40" w:type="dxa"/>
              <w:bottom w:w="40" w:type="dxa"/>
              <w:left w:w="120" w:type="dxa"/>
              <w:right w:w="120" w:type="dxa"/>
            </w:tcMar>
          </w:tcPr>
          <w:p>
            <w:r>
              <w:rPr>
                <w:sz w:val="16"/>
              </w:rPr>
              <w:t>Vendor Invoices, Purchase Orders &amp; Installation Certificates</w:t>
            </w:r>
          </w:p>
        </w:tc>
        <w:tc>
          <w:tcPr>
            <w:tcW w:type="dxa" w:w="3360"/>
            <w:shd w:fill="F7FAFC"/>
            <w:tcMar>
              <w:top w:w="40" w:type="dxa"/>
              <w:bottom w:w="40" w:type="dxa"/>
              <w:left w:w="120" w:type="dxa"/>
              <w:right w:w="120" w:type="dxa"/>
            </w:tcMar>
          </w:tcPr>
          <w:p>
            <w:r>
              <w:rPr>
                <w:sz w:val="16"/>
              </w:rPr>
              <w:t>To verify cost elements and ensure operational readiness before capitalization.</w:t>
            </w:r>
          </w:p>
        </w:tc>
      </w:tr>
      <w:tr>
        <w:tc>
          <w:tcPr>
            <w:tcW w:type="dxa" w:w="3360"/>
            <w:shd w:fill="FFFFFF"/>
            <w:tcMar>
              <w:top w:w="40" w:type="dxa"/>
              <w:bottom w:w="40" w:type="dxa"/>
              <w:left w:w="120" w:type="dxa"/>
              <w:right w:w="120" w:type="dxa"/>
            </w:tcMar>
          </w:tcPr>
          <w:p>
            <w:r>
              <w:rPr>
                <w:b/>
                <w:sz w:val="16"/>
              </w:rPr>
              <w:t>Property, Plant and Equipment (Gross Block)</w:t>
            </w:r>
          </w:p>
        </w:tc>
        <w:tc>
          <w:tcPr>
            <w:tcW w:type="dxa" w:w="3360"/>
            <w:shd w:fill="FFFFFF"/>
            <w:tcMar>
              <w:top w:w="40" w:type="dxa"/>
              <w:bottom w:w="40" w:type="dxa"/>
              <w:left w:w="120" w:type="dxa"/>
              <w:right w:w="120" w:type="dxa"/>
            </w:tcMar>
          </w:tcPr>
          <w:p>
            <w:r>
              <w:rPr>
                <w:sz w:val="16"/>
              </w:rPr>
              <w:t>Physical Verification of Fixed Assets Report</w:t>
            </w:r>
          </w:p>
        </w:tc>
        <w:tc>
          <w:tcPr>
            <w:tcW w:type="dxa" w:w="3360"/>
            <w:shd w:fill="FFFFFF"/>
            <w:tcMar>
              <w:top w:w="40" w:type="dxa"/>
              <w:bottom w:w="40" w:type="dxa"/>
              <w:left w:w="120" w:type="dxa"/>
              <w:right w:w="120" w:type="dxa"/>
            </w:tcMar>
          </w:tcPr>
          <w:p>
            <w:r>
              <w:rPr>
                <w:sz w:val="16"/>
              </w:rPr>
              <w:t>To confirm physical existence, condition, and reconciliation with FAR.</w:t>
            </w:r>
          </w:p>
        </w:tc>
      </w:tr>
    </w:tbl>
    <w:p>
      <w:pPr>
        <w:spacing w:after="240"/>
      </w:pPr>
    </w:p>
    <w:p>
      <w:pPr>
        <w:pStyle w:val="Heading1"/>
      </w:pPr>
      <w:r>
        <w:rPr>
          <w:rFonts w:ascii="Segoe UI" w:hAnsi="Segoe UI"/>
          <w:color w:val="1A365D"/>
        </w:rPr>
        <w:t>8. Potential Risk &amp; Attention Areas Matrix</w:t>
      </w:r>
    </w:p>
    <w:p>
      <w:r>
        <w:t>The following potential risk signals were flagged during quantitative and ratio screening:</w:t>
      </w:r>
    </w:p>
    <w:p>
      <w:pPr>
        <w:spacing w:before="120"/>
      </w:pPr>
      <w:r>
        <w:rPr>
          <w:b/>
          <w:color w:val="B7791F"/>
          <w:sz w:val="19"/>
        </w:rPr>
        <w:t>[MEDIUM RISK] Total Borrowings Increased by 27.3%</w:t>
        <w:br/>
      </w:r>
      <w:r>
        <w:rPr>
          <w:sz w:val="18"/>
        </w:rPr>
        <w:t>Finding: Debt portfolio expanded from 1,650.00 to 2,100.00.</w:t>
        <w:br/>
      </w:r>
      <w:r>
        <w:rPr>
          <w:i/>
          <w:sz w:val="18"/>
        </w:rPr>
        <w:t>Audit Implication: Verify loan sanction conditions, end-use verification of funds, and compliance with statutory charge creation (CHG-1).</w:t>
      </w:r>
    </w:p>
    <w:p>
      <w:pPr>
        <w:pStyle w:val="Heading1"/>
      </w:pPr>
      <w:r>
        <w:rPr>
          <w:rFonts w:ascii="Segoe UI" w:hAnsi="Segoe UI"/>
          <w:color w:val="1A365D"/>
        </w:rPr>
        <w:t>9. Data Limitations &amp; Professional Disclaimer</w:t>
      </w:r>
    </w:p>
    <w:p>
      <w:r>
        <w:rPr>
          <w:b/>
        </w:rPr>
        <w:t>Identified Technical &amp; Extraction Limitations:</w:t>
        <w:br/>
      </w:r>
      <w:r>
        <w:t>• No data extraction anomalies or missing comparative figures detected.</w:t>
      </w:r>
    </w:p>
    <w:p>
      <w:pPr>
        <w:spacing w:before="240"/>
      </w:pPr>
      <w:r>
        <w:rPr>
          <w:i/>
          <w:color w:val="718096"/>
          <w:sz w:val="17"/>
        </w:rPr>
        <w:t>DISCLAIMER &amp; LIMITATIONS: This analytical report is generated by AI Auditor V8 based strictly upon financial figures uploaded by the user and mathematical / financial calculations. All identified variations, interpretations, possible reasons, and suggested audit verification requirements are designed to assist in professional audit planning, credit appraisal, and financial review. They do NOT constitute a conclusive audit opinion, proof of fraud, or legal finding. Independent verification of physical records, primary vouchers, bank statements, and statutory filings by a qualified Chartered Accountant or auditor is mandatory.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