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Example File</w:t>
      </w:r>
    </w:p>
    <w:p>
      <w:pPr>
        <w:spacing w:after="100"/>
        <w:jc w:val="center"/>
      </w:pPr>
      <w:r>
        <w:rPr>
          <w:sz w:val="28"/>
          <w:szCs w:val="28"/>
        </w:rPr>
        <w:t xml:space="preserve">Digital ITR Consultancy — Worked End-to-End Example</w:t>
      </w:r>
    </w:p>
    <w:p>
      <w:pPr>
        <w:spacing w:after="100"/>
        <w:jc w:val="center"/>
      </w:pPr>
      <w:r>
        <w:rPr>
          <w:i/>
        </w:rPr>
        <w:t>Live test run: ITR-2, multi-document PDF (Form 16 + AIS extract + Home Loan Interest Certificate) — covers the mandatory tax-figure verification/caching flow and the CA-vs-client report split</w:t>
      </w:r>
    </w:p>
    <w:p>
      <w:pPr>
        <w:spacing w:after="300"/>
        <w:jc w:val="center"/>
      </w:pPr>
      <w:r>
        <w:rPr>
          <w:b/>
          <w:bCs/>
        </w:rPr>
        <w:t xml:space="preserve">AICA-L2B85, Chandigarh Branch</w:t>
      </w:r>
    </w:p>
    <w:p>
      <w:pPr>
        <w:spacing w:after="120"/>
      </w:pPr>
      <w:r>
        <w:t>This example traces one full, live test run of the tool end-to-end for a synthetic client, Rahul Sharma — from intake answers through to the AI-generated advisory report — so a reviewer can see exactly what data flows through the pipeline at each stage, including the mandatory Knowledge-Base/live-search verification behaviour (Section 6) and the split CA-facing/client-facing report (Section 7). All figures and documents shown are synthetic, created solely for this demonstration; no real client data is used.</w:t>
      </w:r>
    </w:p>
    <w:p>
      <w:pPr>
        <w:pStyle w:val="Heading1"/>
        <w:spacing w:after="150" w:before="300"/>
      </w:pPr>
      <w:r>
        <w:t xml:space="preserve">1. Client Intake (Workflow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EEEEEE" w:val="clear"/>
          </w:tcPr>
          <w:p>
            <w:r>
              <w:rPr>
                <w:b/>
                <w:bCs/>
              </w:rPr>
              <w:t xml:space="preserve">Field</w:t>
            </w:r>
          </w:p>
        </w:tc>
        <w:tc>
          <w:tcPr>
            <w:tcW w:type="dxa" w:w="2600"/>
            <w:shd w:fill="EEEEEE" w:val="clear"/>
          </w:tcPr>
          <w:p>
            <w:r>
              <w:rPr>
                <w:b/>
                <w:bCs/>
              </w:rPr>
              <w:t xml:space="preserve">Sample Answer</w:t>
            </w:r>
          </w:p>
        </w:tc>
        <w:tc>
          <w:tcPr>
            <w:tcW w:type="dxa" w:w="4200"/>
            <w:shd w:fill="EEEEEE" w:val="clear"/>
          </w:tcPr>
          <w:p>
            <w:r>
              <w:rPr>
                <w:b/>
                <w:bCs/>
              </w:rPr>
              <w:t xml:space="preserve">Effect</w:t>
            </w:r>
          </w:p>
        </w:tc>
      </w:tr>
      <w:tr>
        <w:tc>
          <w:tcPr>
            <w:tcW w:type="dxa" w:w="2600"/>
          </w:tcPr>
          <w:p>
            <w:r>
              <w:t>Salary income?</w:t>
            </w:r>
          </w:p>
        </w:tc>
        <w:tc>
          <w:tcPr>
            <w:tcW w:type="dxa" w:w="2600"/>
          </w:tcPr>
          <w:p>
            <w:r>
              <w:t>Yes</w:t>
            </w:r>
          </w:p>
        </w:tc>
        <w:tc>
          <w:tcPr>
            <w:tcW w:type="dxa" w:w="4200"/>
          </w:tcPr>
          <w:p>
            <w:r>
              <w:t>Contributes salary income; alone would point to ITR-1</w:t>
            </w:r>
          </w:p>
        </w:tc>
      </w:tr>
      <w:tr>
        <w:tc>
          <w:tcPr>
            <w:tcW w:type="dxa" w:w="2600"/>
          </w:tcPr>
          <w:p>
            <w:r>
              <w:t>Capital gains (shares/MF)?</w:t>
            </w:r>
          </w:p>
        </w:tc>
        <w:tc>
          <w:tcPr>
            <w:tcW w:type="dxa" w:w="2600"/>
          </w:tcPr>
          <w:p>
            <w:r>
              <w:t>Yes</w:t>
            </w:r>
          </w:p>
        </w:tc>
        <w:tc>
          <w:tcPr>
            <w:tcW w:type="dxa" w:w="4200"/>
          </w:tcPr>
          <w:p>
            <w:r>
              <w:t>Immediately routes to ITR-2, regardless of house count</w:t>
            </w:r>
          </w:p>
        </w:tc>
      </w:tr>
      <w:tr>
        <w:tc>
          <w:tcPr>
            <w:tcW w:type="dxa" w:w="2600"/>
          </w:tcPr>
          <w:p>
            <w:r>
              <w:t>House properties owned</w:t>
            </w:r>
          </w:p>
        </w:tc>
        <w:tc>
          <w:tcPr>
            <w:tcW w:type="dxa" w:w="2600"/>
          </w:tcPr>
          <w:p>
            <w:r>
              <w:t>1 (self-occupied, home loan)</w:t>
            </w:r>
          </w:p>
        </w:tc>
        <w:tc>
          <w:tcPr>
            <w:tcW w:type="dxa" w:w="4200"/>
          </w:tcPr>
          <w:p>
            <w:r>
              <w:t>Adds Section 24(b) interest deduction; does not change ITR-2 classification</w:t>
            </w:r>
          </w:p>
        </w:tc>
      </w:tr>
      <w:tr>
        <w:tc>
          <w:tcPr>
            <w:tcW w:type="dxa" w:w="2600"/>
          </w:tcPr>
          <w:p>
            <w:r>
              <w:t>Business income?</w:t>
            </w:r>
          </w:p>
        </w:tc>
        <w:tc>
          <w:tcPr>
            <w:tcW w:type="dxa" w:w="2600"/>
          </w:tcPr>
          <w:p>
            <w:r>
              <w:t>No</w:t>
            </w:r>
          </w:p>
        </w:tc>
        <w:tc>
          <w:tcPr>
            <w:tcW w:type="dxa" w:w="4200"/>
          </w:tcPr>
          <w:p>
            <w:r>
              <w:t>Confirms not ITR-3/4</w:t>
            </w:r>
          </w:p>
        </w:tc>
      </w:tr>
      <w:tr>
        <w:tc>
          <w:tcPr>
            <w:tcW w:type="dxa" w:w="2600"/>
          </w:tcPr>
          <w:p>
            <w:r>
              <w:t>Foreign assets / directorship?</w:t>
            </w:r>
          </w:p>
        </w:tc>
        <w:tc>
          <w:tcPr>
            <w:tcW w:type="dxa" w:w="2600"/>
          </w:tcPr>
          <w:p>
            <w:r>
              <w:t>No</w:t>
            </w:r>
          </w:p>
        </w:tc>
        <w:tc>
          <w:tcPr>
            <w:tcW w:type="dxa" w:w="4200"/>
          </w:tcPr>
          <w:p>
            <w:r>
              <w:t>Confirms no Schedule FA requirement</w:t>
            </w:r>
          </w:p>
        </w:tc>
      </w:tr>
      <w:tr>
        <w:tc>
          <w:tcPr>
            <w:tcW w:type="dxa" w:w="2600"/>
          </w:tcPr>
          <w:p>
            <w:r>
              <w:t>Classified as</w:t>
            </w:r>
          </w:p>
        </w:tc>
        <w:tc>
          <w:tcPr>
            <w:tcW w:type="dxa" w:w="2600"/>
          </w:tcPr>
          <w:p>
            <w:r>
              <w:t>ITR-2</w:t>
            </w:r>
          </w:p>
        </w:tc>
        <w:tc>
          <w:tcPr>
            <w:tcW w:type="dxa" w:w="4200"/>
          </w:tcPr>
          <w:p>
            <w:r>
              <w:t>Price tier: ₹749</w:t>
            </w:r>
          </w:p>
        </w:tc>
      </w:tr>
    </w:tbl>
    <w:p>
      <w:pPr>
        <w:pStyle w:val="Heading1"/>
        <w:spacing w:after="150" w:before="300"/>
      </w:pPr>
      <w:r>
        <w:t xml:space="preserve">2. Document Received (Workflow 2)</w:t>
      </w:r>
    </w:p>
    <w:p>
      <w:pPr>
        <w:spacing w:after="120"/>
      </w:pPr>
      <w:r>
        <w:t>Client replied to the “Documents needed” email with a single password-protected, 3-page PDF attachment, Rahul_Sharma_Form16_AIS_HomeLoan_PROTECTED.pdf, combining a Form 16 Part B, an AIS summary extract, and a home loan interest certificate. No password was stated in the client's reply, so the “Determine PDF Password (Fallback)” node derived one automatically as lowercase(PAN) + DOB in DDMMYYYY — abcde1234f15081990 — which opened the file successfully. The system located the client's CRM row by sender email, created their Documents folder, and uploaded the file as rahul.sharma.test88@gmail.com__ITR-2__Rahul_Sharma_Form16_AIS_HomeLoan_PROTECTED.pdf, then handed off directly to Workflow 3 together with the declared PAN, Assessment Year, Financial Year, and deduction amounts from the intake form.</w:t>
      </w:r>
    </w:p>
    <w:p>
      <w:pPr>
        <w:pStyle w:val="Heading1"/>
        <w:spacing w:after="150" w:before="300"/>
      </w:pPr>
      <w:r>
        <w:t xml:space="preserve">3. Extracted Document Text (excerpt)</w:t>
      </w:r>
    </w:p>
    <w:p>
      <w:pPr>
        <w:pBdr>
          <w:top w:val="single" w:color="CCCCCC" w:sz="4"/>
          <w:bottom w:val="single" w:color="CCCCCC" w:sz="4"/>
          <w:left w:val="single" w:color="CCCCCC" w:sz="4"/>
          <w:right w:val="single" w:color="CCCCCC" w:sz="4"/>
        </w:pBdr>
        <w:shd w:fill="F5F5F5" w:val="clear"/>
        <w:spacing w:after="200" w:before="100"/>
      </w:pPr>
      <w:r>
        <w:rPr>
          <w:rFonts w:ascii="Courier New" w:hAnsi="Courier New"/>
          <w:sz w:val="18"/>
        </w:rPr>
        <w:t>FORM NO. 16</w:t>
      </w:r>
      <w:r>
        <w:rPr>
          <w:rFonts w:ascii="Courier New" w:hAnsi="Courier New"/>
          <w:sz w:val="18"/>
        </w:rPr>
        <w:br/>
        <w:t>[See rule 31(1)(a)]</w:t>
      </w:r>
      <w:r>
        <w:rPr>
          <w:rFonts w:ascii="Courier New" w:hAnsi="Courier New"/>
          <w:sz w:val="18"/>
        </w:rPr>
        <w:br/>
        <w:t>PART B (Annexure) — Certificate under Section 203 of the Income-tax Act, 1961</w:t>
      </w:r>
      <w:r>
        <w:rPr>
          <w:rFonts w:ascii="Courier New" w:hAnsi="Courier New"/>
          <w:sz w:val="18"/>
        </w:rPr>
        <w:br/>
        <w:t>Name and address of the Employee: Rahul Sharma (as per PAN records)</w:t>
      </w:r>
      <w:r>
        <w:rPr>
          <w:rFonts w:ascii="Courier New" w:hAnsi="Courier New"/>
          <w:sz w:val="18"/>
        </w:rPr>
        <w:br/>
        <w:t>PAN of the Employee: ABCDE1234F        Assessment Year: 2025-26</w:t>
      </w:r>
      <w:r>
        <w:rPr>
          <w:rFonts w:ascii="Courier New" w:hAnsi="Courier New"/>
          <w:sz w:val="18"/>
        </w:rPr>
        <w:br/>
        <w:t>Period: 01-Apr-2024 to 31-Mar-2025</w:t>
      </w:r>
      <w:r>
        <w:rPr>
          <w:rFonts w:ascii="Courier New" w:hAnsi="Courier New"/>
          <w:sz w:val="18"/>
        </w:rPr>
        <w:br/>
        <w:t>1. Gross Salary ... Total Gross Salary: 18,00,000</w:t>
      </w:r>
      <w:r>
        <w:rPr>
          <w:rFonts w:ascii="Courier New" w:hAnsi="Courier New"/>
          <w:sz w:val="18"/>
        </w:rPr>
        <w:br/>
        <w:t>2. HRA exemption u/s 10(13A): 1,10,000</w:t>
      </w:r>
      <w:r>
        <w:rPr>
          <w:rFonts w:ascii="Courier New" w:hAnsi="Courier New"/>
          <w:sz w:val="18"/>
        </w:rPr>
        <w:br/>
        <w:t>4. Standard Deduction u/s 16(ia): 50,000</w:t>
      </w:r>
      <w:r>
        <w:rPr>
          <w:rFonts w:ascii="Courier New" w:hAnsi="Courier New"/>
          <w:sz w:val="18"/>
        </w:rPr>
        <w:br/>
        <w:t>6. Chapter VI-A: Section 80C 1,50,000 | Section 80D 25,000 | Section 80CCD(1B) 50,000</w:t>
      </w:r>
      <w:r>
        <w:rPr>
          <w:rFonts w:ascii="Courier New" w:hAnsi="Courier New"/>
          <w:sz w:val="18"/>
        </w:rPr>
        <w:br/>
        <w:t>10. Total Tax Payable: 1,93,960   11. Total TDS: 1,93,960   12. Tax Payable/(Refundable): NIL</w:t>
      </w:r>
      <w:r>
        <w:rPr>
          <w:rFonts w:ascii="Courier New" w:hAnsi="Courier New"/>
          <w:sz w:val="18"/>
        </w:rPr>
        <w:br/>
        <w:t>[... quarterly TDS receipt table omitted ...]</w:t>
      </w:r>
      <w:r>
        <w:rPr>
          <w:rFonts w:ascii="Courier New" w:hAnsi="Courier New"/>
          <w:sz w:val="18"/>
        </w:rPr>
        <w:br/>
      </w:r>
      <w:r>
        <w:rPr>
          <w:rFonts w:ascii="Courier New" w:hAnsi="Courier New"/>
          <w:sz w:val="18"/>
        </w:rPr>
        <w:br/>
        <w:t>ANNUAL INFORMATION STATEMENT (AIS) — SUMMARY EXTRACT</w:t>
      </w:r>
      <w:r>
        <w:rPr>
          <w:rFonts w:ascii="Courier New" w:hAnsi="Courier New"/>
          <w:sz w:val="18"/>
        </w:rPr>
        <w:br/>
        <w:t>PAN: ABCDE1234F | Financial Year: 2024-25 | Assessment Year: 2025-26</w:t>
      </w:r>
      <w:r>
        <w:rPr>
          <w:rFonts w:ascii="Courier New" w:hAnsi="Courier New"/>
          <w:sz w:val="18"/>
        </w:rPr>
        <w:br/>
        <w:t>Part A — Interest from savings bank account (SBI, A/c XXXX2211): Rs.5,200</w:t>
      </w:r>
      <w:r>
        <w:rPr>
          <w:rFonts w:ascii="Courier New" w:hAnsi="Courier New"/>
          <w:sz w:val="18"/>
        </w:rPr>
        <w:br/>
        <w:t>Part B — Capital Gains on Securities (Broker: Zerodha Broking Ltd.)</w:t>
      </w:r>
      <w:r>
        <w:rPr>
          <w:rFonts w:ascii="Courier New" w:hAnsi="Courier New"/>
          <w:sz w:val="18"/>
        </w:rPr>
        <w:br/>
        <w:t xml:space="preserve">  Listed Equity Shares, Short-Term (STT paid): Purchase 3,40,000 / Sale 4,25,000 / Gain 85,000</w:t>
      </w:r>
      <w:r>
        <w:rPr>
          <w:rFonts w:ascii="Courier New" w:hAnsi="Courier New"/>
          <w:sz w:val="18"/>
        </w:rPr>
        <w:br/>
        <w:t xml:space="preserve">  Equity Mutual Fund Units, Long-Term (STT paid): Purchase 2,50,000 / Sale 2,90,000 / Gain 40,000</w:t>
      </w:r>
      <w:r>
        <w:rPr>
          <w:rFonts w:ascii="Courier New" w:hAnsi="Courier New"/>
          <w:sz w:val="18"/>
        </w:rPr>
        <w:br/>
        <w:t>Total STCG (Equity, STT paid): Rs.85,000       Total LTCG (Equity, STT paid): Rs.40,000</w:t>
      </w:r>
      <w:r>
        <w:rPr>
          <w:rFonts w:ascii="Courier New" w:hAnsi="Courier New"/>
          <w:sz w:val="18"/>
        </w:rPr>
        <w:br/>
      </w:r>
      <w:r>
        <w:rPr>
          <w:rFonts w:ascii="Courier New" w:hAnsi="Courier New"/>
          <w:sz w:val="18"/>
        </w:rPr>
        <w:br/>
        <w:t>HOME LOAN INTEREST CERTIFICATE (Section 24(b))</w:t>
      </w:r>
      <w:r>
        <w:rPr>
          <w:rFonts w:ascii="Courier New" w:hAnsi="Courier New"/>
          <w:sz w:val="18"/>
        </w:rPr>
        <w:br/>
        <w:t>Lender: HDFC Bank Ltd., Home Loan Division   Borrower: Rahul Sharma   PAN: ABCDE1234F</w:t>
      </w:r>
      <w:r>
        <w:rPr>
          <w:rFonts w:ascii="Courier New" w:hAnsi="Courier New"/>
          <w:sz w:val="18"/>
        </w:rPr>
        <w:br/>
        <w:t>Loan Account Number: HL-2021-887744   Property Type: Self-Occupied Residential Property</w:t>
      </w:r>
      <w:r>
        <w:rPr>
          <w:rFonts w:ascii="Courier New" w:hAnsi="Courier New"/>
          <w:sz w:val="18"/>
        </w:rPr>
        <w:br/>
        <w:t>Financial Year: 2024-25</w:t>
      </w:r>
      <w:r>
        <w:rPr>
          <w:rFonts w:ascii="Courier New" w:hAnsi="Courier New"/>
          <w:sz w:val="18"/>
        </w:rPr>
        <w:br/>
        <w:t>Interest Paid during the Financial Year (Section 24(b)): Rs.1,20,000</w:t>
      </w:r>
      <w:r>
        <w:rPr>
          <w:rFonts w:ascii="Courier New" w:hAnsi="Courier New"/>
          <w:sz w:val="18"/>
        </w:rPr>
        <w:br/>
        <w:t>Principal Repaid during the Financial Year (Section 80C): Rs.1,10,000 (included within the Section 80C figure declared to employer)</w:t>
      </w:r>
      <w:r>
        <w:rPr>
          <w:rFonts w:ascii="Courier New" w:hAnsi="Courier New"/>
          <w:sz w:val="18"/>
        </w:rPr>
        <w:br/>
        <w:t>[... certificate verification footer omitted ...]</w:t>
      </w:r>
    </w:p>
    <w:p>
      <w:pPr>
        <w:pStyle w:val="Heading1"/>
        <w:spacing w:after="150" w:before="300"/>
      </w:pPr>
      <w:r>
        <w:t xml:space="preserve">4. Raw AI Agent Output (actual JSON returned)</w:t>
      </w:r>
    </w:p>
    <w:p>
      <w:pPr>
        <w:pBdr>
          <w:top w:val="single" w:color="CCCCCC" w:sz="4"/>
          <w:bottom w:val="single" w:color="CCCCCC" w:sz="4"/>
          <w:left w:val="single" w:color="CCCCCC" w:sz="4"/>
          <w:right w:val="single" w:color="CCCCCC" w:sz="4"/>
        </w:pBdr>
        <w:shd w:fill="F5F5F5" w:val="clear"/>
        <w:spacing w:after="200" w:before="100"/>
      </w:pPr>
      <w:r>
        <w:rPr>
          <w:rFonts w:ascii="Courier New" w:hAnsi="Courier New"/>
          <w:sz w:val="18"/>
        </w:rPr>
        <w:t>{</w:t>
      </w:r>
      <w:r>
        <w:rPr>
          <w:rFonts w:ascii="Courier New" w:hAnsi="Courier New"/>
          <w:sz w:val="18"/>
        </w:rPr>
        <w:br/>
        <w:t xml:space="preserve">  "recommended_itr_type": "ITR-2",</w:t>
      </w:r>
      <w:r>
        <w:rPr>
          <w:rFonts w:ascii="Courier New" w:hAnsi="Courier New"/>
          <w:sz w:val="18"/>
        </w:rPr>
        <w:br/>
        <w:t xml:space="preserve">  "old_regime_tax": 226040,</w:t>
      </w:r>
      <w:r>
        <w:rPr>
          <w:rFonts w:ascii="Courier New" w:hAnsi="Courier New"/>
          <w:sz w:val="18"/>
        </w:rPr>
        <w:br/>
        <w:t xml:space="preserve">  "new_regime_tax": 234420,</w:t>
      </w:r>
      <w:r>
        <w:rPr>
          <w:rFonts w:ascii="Courier New" w:hAnsi="Courier New"/>
          <w:sz w:val="18"/>
        </w:rPr>
        <w:br/>
        <w:t xml:space="preserve">  "recommended_regime": "Old Regime",</w:t>
      </w:r>
      <w:r>
        <w:rPr>
          <w:rFonts w:ascii="Courier New" w:hAnsi="Courier New"/>
          <w:sz w:val="18"/>
        </w:rPr>
        <w:br/>
        <w:t xml:space="preserve">  "regime_reasoning": "Old Regime works out about Rs.8,380 cheaper for this client because the home loan interest (Section 24(b), creating a house property loss) and the HRA exemption (Section 10(13A)) are only available under the Old Regime, and Chapter VI-A deductions (80C/80D/80CCD(1B)/80TTA) are already fully utilised. New Regime's lower slab rates do not fully offset the loss of these exemptions/deductions at this income level.",</w:t>
      </w:r>
      <w:r>
        <w:rPr>
          <w:rFonts w:ascii="Courier New" w:hAnsi="Courier New"/>
          <w:sz w:val="18"/>
        </w:rPr>
        <w:br/>
        <w:t xml:space="preserve">  "capital_gains": {</w:t>
      </w:r>
      <w:r>
        <w:rPr>
          <w:rFonts w:ascii="Courier New" w:hAnsi="Courier New"/>
          <w:sz w:val="18"/>
        </w:rPr>
        <w:br/>
        <w:t xml:space="preserve">    "stcg": 85000,</w:t>
      </w:r>
      <w:r>
        <w:rPr>
          <w:rFonts w:ascii="Courier New" w:hAnsi="Courier New"/>
          <w:sz w:val="18"/>
        </w:rPr>
        <w:br/>
        <w:t xml:space="preserve">    "ltcg": 40000,</w:t>
      </w:r>
      <w:r>
        <w:rPr>
          <w:rFonts w:ascii="Courier New" w:hAnsi="Courier New"/>
          <w:sz w:val="18"/>
        </w:rPr>
        <w:br/>
        <w:t xml:space="preserve">    "indexed_ltcg": 0</w:t>
      </w:r>
      <w:r>
        <w:rPr>
          <w:rFonts w:ascii="Courier New" w:hAnsi="Courier New"/>
          <w:sz w:val="18"/>
        </w:rPr>
        <w:br/>
        <w:t xml:space="preserve">  },</w:t>
      </w:r>
      <w:r>
        <w:rPr>
          <w:rFonts w:ascii="Courier New" w:hAnsi="Courier New"/>
          <w:sz w:val="18"/>
        </w:rPr>
        <w:br/>
        <w:t xml:space="preserve">  "tax_computation": {</w:t>
      </w:r>
      <w:r>
        <w:rPr>
          <w:rFonts w:ascii="Courier New" w:hAnsi="Courier New"/>
          <w:sz w:val="18"/>
        </w:rPr>
        <w:br/>
        <w:t xml:space="preserve">    "old_regime": {</w:t>
      </w:r>
      <w:r>
        <w:rPr>
          <w:rFonts w:ascii="Courier New" w:hAnsi="Courier New"/>
          <w:sz w:val="18"/>
        </w:rPr>
        <w:br/>
        <w:t xml:space="preserve">      "gross_salary": 1690000,</w:t>
      </w:r>
      <w:r>
        <w:rPr>
          <w:rFonts w:ascii="Courier New" w:hAnsi="Courier New"/>
          <w:sz w:val="18"/>
        </w:rPr>
        <w:br/>
        <w:t xml:space="preserve">      "standard_deduction": 50000,</w:t>
      </w:r>
      <w:r>
        <w:rPr>
          <w:rFonts w:ascii="Courier New" w:hAnsi="Courier New"/>
          <w:sz w:val="18"/>
        </w:rPr>
        <w:br/>
        <w:t xml:space="preserve">      "income_from_house_property": -120000,</w:t>
      </w:r>
      <w:r>
        <w:rPr>
          <w:rFonts w:ascii="Courier New" w:hAnsi="Courier New"/>
          <w:sz w:val="18"/>
        </w:rPr>
        <w:br/>
        <w:t xml:space="preserve">      "income_from_other_sources": 5200,</w:t>
      </w:r>
      <w:r>
        <w:rPr>
          <w:rFonts w:ascii="Courier New" w:hAnsi="Courier New"/>
          <w:sz w:val="18"/>
        </w:rPr>
        <w:br/>
        <w:t xml:space="preserve">      "gross_total_income": 1525200,</w:t>
      </w:r>
      <w:r>
        <w:rPr>
          <w:rFonts w:ascii="Courier New" w:hAnsi="Courier New"/>
          <w:sz w:val="18"/>
        </w:rPr>
        <w:br/>
        <w:t xml:space="preserve">      "chapter_via_deductions": 230200,</w:t>
      </w:r>
      <w:r>
        <w:rPr>
          <w:rFonts w:ascii="Courier New" w:hAnsi="Courier New"/>
          <w:sz w:val="18"/>
        </w:rPr>
        <w:br/>
        <w:t xml:space="preserve">      "net_taxable_income": 1295000,</w:t>
      </w:r>
      <w:r>
        <w:rPr>
          <w:rFonts w:ascii="Courier New" w:hAnsi="Courier New"/>
          <w:sz w:val="18"/>
        </w:rPr>
        <w:br/>
        <w:t xml:space="preserve">      "tax_before_cess": 201000,</w:t>
      </w:r>
      <w:r>
        <w:rPr>
          <w:rFonts w:ascii="Courier New" w:hAnsi="Courier New"/>
          <w:sz w:val="18"/>
        </w:rPr>
        <w:br/>
        <w:t xml:space="preserve">      "rebate_87A": 0,</w:t>
      </w:r>
      <w:r>
        <w:rPr>
          <w:rFonts w:ascii="Courier New" w:hAnsi="Courier New"/>
          <w:sz w:val="18"/>
        </w:rPr>
        <w:br/>
        <w:t xml:space="preserve">      "health_education_cess": 8040,</w:t>
      </w:r>
      <w:r>
        <w:rPr>
          <w:rFonts w:ascii="Courier New" w:hAnsi="Courier New"/>
          <w:sz w:val="18"/>
        </w:rPr>
        <w:br/>
        <w:t xml:space="preserve">      "total_tax_payable": 209040</w:t>
      </w:r>
      <w:r>
        <w:rPr>
          <w:rFonts w:ascii="Courier New" w:hAnsi="Courier New"/>
          <w:sz w:val="18"/>
        </w:rPr>
        <w:br/>
        <w:t xml:space="preserve">    },</w:t>
      </w:r>
      <w:r>
        <w:rPr>
          <w:rFonts w:ascii="Courier New" w:hAnsi="Courier New"/>
          <w:sz w:val="18"/>
        </w:rPr>
        <w:br/>
        <w:t xml:space="preserve">    "new_regime": {</w:t>
      </w:r>
      <w:r>
        <w:rPr>
          <w:rFonts w:ascii="Courier New" w:hAnsi="Courier New"/>
          <w:sz w:val="18"/>
        </w:rPr>
        <w:br/>
        <w:t xml:space="preserve">      "gross_salary": 1800000,</w:t>
      </w:r>
      <w:r>
        <w:rPr>
          <w:rFonts w:ascii="Courier New" w:hAnsi="Courier New"/>
          <w:sz w:val="18"/>
        </w:rPr>
        <w:br/>
        <w:t xml:space="preserve">      "standard_deduction": 75000,</w:t>
      </w:r>
      <w:r>
        <w:rPr>
          <w:rFonts w:ascii="Courier New" w:hAnsi="Courier New"/>
          <w:sz w:val="18"/>
        </w:rPr>
        <w:br/>
        <w:t xml:space="preserve">      "income_from_house_property": 0,</w:t>
      </w:r>
      <w:r>
        <w:rPr>
          <w:rFonts w:ascii="Courier New" w:hAnsi="Courier New"/>
          <w:sz w:val="18"/>
        </w:rPr>
        <w:br/>
        <w:t xml:space="preserve">      "income_from_other_sources": 5200,</w:t>
      </w:r>
      <w:r>
        <w:rPr>
          <w:rFonts w:ascii="Courier New" w:hAnsi="Courier New"/>
          <w:sz w:val="18"/>
        </w:rPr>
        <w:br/>
        <w:t xml:space="preserve">      "gross_total_income": 1730200,</w:t>
      </w:r>
      <w:r>
        <w:rPr>
          <w:rFonts w:ascii="Courier New" w:hAnsi="Courier New"/>
          <w:sz w:val="18"/>
        </w:rPr>
        <w:br/>
        <w:t xml:space="preserve">      "chapter_via_deductions": 0,</w:t>
      </w:r>
      <w:r>
        <w:rPr>
          <w:rFonts w:ascii="Courier New" w:hAnsi="Courier New"/>
          <w:sz w:val="18"/>
        </w:rPr>
        <w:br/>
        <w:t xml:space="preserve">      "net_taxable_income": 1730200,</w:t>
      </w:r>
      <w:r>
        <w:rPr>
          <w:rFonts w:ascii="Courier New" w:hAnsi="Courier New"/>
          <w:sz w:val="18"/>
        </w:rPr>
        <w:br/>
        <w:t xml:space="preserve">      "tax_before_cess": 209060,</w:t>
      </w:r>
      <w:r>
        <w:rPr>
          <w:rFonts w:ascii="Courier New" w:hAnsi="Courier New"/>
          <w:sz w:val="18"/>
        </w:rPr>
        <w:br/>
        <w:t xml:space="preserve">      "rebate_87A": 0,</w:t>
      </w:r>
      <w:r>
        <w:rPr>
          <w:rFonts w:ascii="Courier New" w:hAnsi="Courier New"/>
          <w:sz w:val="18"/>
        </w:rPr>
        <w:br/>
        <w:t xml:space="preserve">      "health_education_cess": 8362,</w:t>
      </w:r>
      <w:r>
        <w:rPr>
          <w:rFonts w:ascii="Courier New" w:hAnsi="Courier New"/>
          <w:sz w:val="18"/>
        </w:rPr>
        <w:br/>
        <w:t xml:space="preserve">      "total_tax_payable": 217422</w:t>
      </w:r>
      <w:r>
        <w:rPr>
          <w:rFonts w:ascii="Courier New" w:hAnsi="Courier New"/>
          <w:sz w:val="18"/>
        </w:rPr>
        <w:br/>
        <w:t xml:space="preserve">    },</w:t>
      </w:r>
      <w:r>
        <w:rPr>
          <w:rFonts w:ascii="Courier New" w:hAnsi="Courier New"/>
          <w:sz w:val="18"/>
        </w:rPr>
        <w:br/>
        <w:t xml:space="preserve">    "other_income_note": "Salary-side tax shown above excludes capital gains, which are taxed separately at flat rates and added below (STCG Rs.85,000 + LTCG Rs.40,000) to arrive at the Old/New Regime totals quoted at the top of this report. Savings bank interest of Rs.5,200 found in the AIS was included in Income from Other Sources; the intake form declared Rs.5,000 under 80TTA/TTB, a Rs.200 difference from the AIS figure -- the document figure was used."</w:t>
      </w:r>
      <w:r>
        <w:rPr>
          <w:rFonts w:ascii="Courier New" w:hAnsi="Courier New"/>
          <w:sz w:val="18"/>
        </w:rPr>
        <w:br/>
        <w:t xml:space="preserve">  },</w:t>
      </w:r>
      <w:r>
        <w:rPr>
          <w:rFonts w:ascii="Courier New" w:hAnsi="Courier New"/>
          <w:sz w:val="18"/>
        </w:rPr>
        <w:br/>
        <w:t xml:space="preserve">  "exemption_opportunities": [</w:t>
      </w:r>
      <w:r>
        <w:rPr>
          <w:rFonts w:ascii="Courier New" w:hAnsi="Courier New"/>
          <w:sz w:val="18"/>
        </w:rPr>
        <w:br/>
        <w:t xml:space="preserve">    {</w:t>
      </w:r>
      <w:r>
        <w:rPr>
          <w:rFonts w:ascii="Courier New" w:hAnsi="Courier New"/>
          <w:sz w:val="18"/>
        </w:rPr>
        <w:br/>
        <w:t xml:space="preserve">      "section": "Section 54/54F/54EC",</w:t>
      </w:r>
      <w:r>
        <w:rPr>
          <w:rFonts w:ascii="Courier New" w:hAnsi="Courier New"/>
          <w:sz w:val="18"/>
        </w:rPr>
        <w:br/>
        <w:t xml:space="preserve">      "estimated_saving": 0,</w:t>
      </w:r>
      <w:r>
        <w:rPr>
          <w:rFonts w:ascii="Courier New" w:hAnsi="Courier New"/>
          <w:sz w:val="18"/>
        </w:rPr>
        <w:br/>
        <w:t xml:space="preserve">      "note": "Not applicable this year -- no long-term asset other than listed equity/MF was sold. Keep this in mind for a future year if a house or land is sold; reinvesting gains into a residential house (54/54F) or NHAI/REC/PFC bonds within 6 months (54EC, cap Rs.50,00,000) can defer or eliminate LTCG tax."</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"deduction_gaps": [</w:t>
      </w:r>
      <w:r>
        <w:rPr>
          <w:rFonts w:ascii="Courier New" w:hAnsi="Courier New"/>
          <w:sz w:val="18"/>
        </w:rPr>
        <w:br/>
        <w:t xml:space="preserve">    {</w:t>
      </w:r>
      <w:r>
        <w:rPr>
          <w:rFonts w:ascii="Courier New" w:hAnsi="Courier New"/>
          <w:sz w:val="18"/>
        </w:rPr>
        <w:br/>
        <w:t xml:space="preserve">      "section": "Section 80D (parents' health insurance)",</w:t>
      </w:r>
      <w:r>
        <w:rPr>
          <w:rFonts w:ascii="Courier New" w:hAnsi="Courier New"/>
          <w:sz w:val="18"/>
        </w:rPr>
        <w:br/>
        <w:t xml:space="preserve">      "unused_amount": 50000,</w:t>
      </w:r>
      <w:r>
        <w:rPr>
          <w:rFonts w:ascii="Courier New" w:hAnsi="Courier New"/>
          <w:sz w:val="18"/>
        </w:rPr>
        <w:br/>
        <w:t xml:space="preserve">      "note": "The Rs.25,000 80D limit already claimed covers self/family only. If health insurance premium is also paid for senior-citizen parents, an additional Rs.50,000 can be claimed -- no such payment was found in the document. Please confirm with the client."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"disclosure_flags": [</w:t>
      </w:r>
      <w:r>
        <w:rPr>
          <w:rFonts w:ascii="Courier New" w:hAnsi="Courier New"/>
          <w:sz w:val="18"/>
        </w:rPr>
        <w:br/>
        <w:t xml:space="preserve">    "HRA exemption of Rs.1,10,000 was computed assuming annual rent paid of Rs.2,00,000 and basic salary of Rs.9,00,000 (50% of gross salary), because the document did not separately break out basic pay or attach a rent agreement/receipts. Please verify actual basic salary and rent paid before filing -- this figure will change the final Old Regime tax.",</w:t>
      </w:r>
      <w:r>
        <w:rPr>
          <w:rFonts w:ascii="Courier New" w:hAnsi="Courier New"/>
          <w:sz w:val="18"/>
        </w:rPr>
        <w:br/>
        <w:t xml:space="preserve">    "Client declared Rs.5,000 under Section 80TTA/80TTB on the intake form; the AIS in the uploaded document shows savings interest of Rs.5,200. The document figure (Rs.5,200) was used for computation.",</w:t>
      </w:r>
      <w:r>
        <w:rPr>
          <w:rFonts w:ascii="Courier New" w:hAnsi="Courier New"/>
          <w:sz w:val="18"/>
        </w:rPr>
        <w:br/>
        <w:t xml:space="preserve">    "UNVERIFIED: could not confirm via a live search this session whether the equity STCG rate (20%) and LTCG exemption threshold (Rs.1,25,000) still apply unchanged for the stated Assessment Year -- please verify against the applicable Finance Act before filing."</w:t>
      </w:r>
      <w:r>
        <w:rPr>
          <w:rFonts w:ascii="Courier New" w:hAnsi="Courier New"/>
          <w:sz w:val="18"/>
        </w:rPr>
        <w:br/>
        <w:t xml:space="preserve">  ],</w:t>
      </w:r>
      <w:r>
        <w:rPr>
          <w:rFonts w:ascii="Courier New" w:hAnsi="Courier New"/>
          <w:sz w:val="18"/>
        </w:rPr>
        <w:br/>
        <w:t xml:space="preserve">  "action_items": [</w:t>
      </w:r>
      <w:r>
        <w:rPr>
          <w:rFonts w:ascii="Courier New" w:hAnsi="Courier New"/>
          <w:sz w:val="18"/>
        </w:rPr>
        <w:br/>
        <w:t xml:space="preserve">    "Confirm actual basic salary and annual rent paid (attach rent receipts/agreement) so the HRA exemption can be finalised precisely.",</w:t>
      </w:r>
      <w:r>
        <w:rPr>
          <w:rFonts w:ascii="Courier New" w:hAnsi="Courier New"/>
          <w:sz w:val="18"/>
        </w:rPr>
        <w:br/>
        <w:t xml:space="preserve">    "Confirm whether any health insurance premium was paid for senior-citizen parents to claim the additional Rs.50,000 under Section 80D.",</w:t>
      </w:r>
      <w:r>
        <w:rPr>
          <w:rFonts w:ascii="Courier New" w:hAnsi="Courier New"/>
          <w:sz w:val="18"/>
        </w:rPr>
        <w:br/>
        <w:t xml:space="preserve">    "Recommend proceeding with the Old Regime for this Assessment Year -- saves approximately Rs.8,380 versus the New Regime.",</w:t>
      </w:r>
      <w:r>
        <w:rPr>
          <w:rFonts w:ascii="Courier New" w:hAnsi="Courier New"/>
          <w:sz w:val="18"/>
        </w:rPr>
        <w:br/>
        <w:t xml:space="preserve">    "Retain broker Capital Gains statement, Form 16, and home loan interest certificate for your records in case of scrutiny.",</w:t>
      </w:r>
      <w:r>
        <w:rPr>
          <w:rFonts w:ascii="Courier New" w:hAnsi="Courier New"/>
          <w:sz w:val="18"/>
        </w:rPr>
        <w:br/>
        <w:t xml:space="preserve">    "File on or before the applicable due date to avoid late fees under Section 234F."</w:t>
      </w:r>
      <w:r>
        <w:rPr>
          <w:rFonts w:ascii="Courier New" w:hAnsi="Courier New"/>
          <w:sz w:val="18"/>
        </w:rPr>
        <w:br/>
        <w:t xml:space="preserve">  ],</w:t>
      </w:r>
      <w:r>
        <w:rPr>
          <w:rFonts w:ascii="Courier New" w:hAnsi="Courier New"/>
          <w:sz w:val="18"/>
        </w:rPr>
        <w:br/>
        <w:t xml:space="preserve">  "tax_saving_scenarios": [</w:t>
      </w:r>
      <w:r>
        <w:rPr>
          <w:rFonts w:ascii="Courier New" w:hAnsi="Courier New"/>
          <w:sz w:val="18"/>
        </w:rPr>
        <w:br/>
        <w:t xml:space="preserve">    {</w:t>
      </w:r>
      <w:r>
        <w:rPr>
          <w:rFonts w:ascii="Courier New" w:hAnsi="Courier New"/>
          <w:sz w:val="18"/>
        </w:rPr>
        <w:br/>
        <w:t xml:space="preserve">      "section": "Section 80D (parents)",</w:t>
      </w:r>
      <w:r>
        <w:rPr>
          <w:rFonts w:ascii="Courier New" w:hAnsi="Courier New"/>
          <w:sz w:val="18"/>
        </w:rPr>
        <w:br/>
        <w:t xml:space="preserve">      "description": "If health insurance premium is paid for senior-citizen parents, claiming the additional Rs.50,000 (over and above the Rs.25,000 self/family limit already used) at the client's ~30% marginal slab: Rs.50,000 x 30% + 4% cess = approx Rs.15,600 saved.",</w:t>
      </w:r>
      <w:r>
        <w:rPr>
          <w:rFonts w:ascii="Courier New" w:hAnsi="Courier New"/>
          <w:sz w:val="18"/>
        </w:rPr>
        <w:br/>
        <w:t xml:space="preserve">      "additional_eligible_amount": 50000,</w:t>
      </w:r>
      <w:r>
        <w:rPr>
          <w:rFonts w:ascii="Courier New" w:hAnsi="Courier New"/>
          <w:sz w:val="18"/>
        </w:rPr>
        <w:br/>
        <w:t xml:space="preserve">      "estimated_tax_saved": 15600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"future_tax_planning": [</w:t>
      </w:r>
      <w:r>
        <w:rPr>
          <w:rFonts w:ascii="Courier New" w:hAnsi="Courier New"/>
          <w:sz w:val="18"/>
        </w:rPr>
        <w:br/>
        <w:t xml:space="preserve">    "Section 80C, 80D and 80CCD(1B) are already fully utilised this year -- maintain this each year to keep the Old Regime advantage.",</w:t>
      </w:r>
      <w:r>
        <w:rPr>
          <w:rFonts w:ascii="Courier New" w:hAnsi="Courier New"/>
          <w:sz w:val="18"/>
        </w:rPr>
        <w:br/>
        <w:t xml:space="preserve">    "Re-evaluate Old vs New Regime every year before filing, since the more beneficial option can change if salary structure, deductions, or slab rates change.",</w:t>
      </w:r>
      <w:r>
        <w:rPr>
          <w:rFonts w:ascii="Courier New" w:hAnsi="Courier New"/>
          <w:sz w:val="18"/>
        </w:rPr>
        <w:br/>
        <w:t xml:space="preserve">    "If parents are dependent and uninsured, consider a health insurance policy for them to unlock the additional Section 80D benefit.",</w:t>
      </w:r>
      <w:r>
        <w:rPr>
          <w:rFonts w:ascii="Courier New" w:hAnsi="Courier New"/>
          <w:sz w:val="18"/>
        </w:rPr>
        <w:br/>
        <w:t xml:space="preserve">    "For future equity sales, stagger redemptions across financial years where possible to make full use of the Rs.1,25,000 annual LTCG exemption.",</w:t>
      </w:r>
      <w:r>
        <w:rPr>
          <w:rFonts w:ascii="Courier New" w:hAnsi="Courier New"/>
          <w:sz w:val="18"/>
        </w:rPr>
        <w:br/>
        <w:t xml:space="preserve">    "If home loan interest is expected to remain high, continue evaluating the Old Regime rather than defaulting to the New Regime.",</w:t>
      </w:r>
      <w:r>
        <w:rPr>
          <w:rFonts w:ascii="Courier New" w:hAnsi="Courier New"/>
          <w:sz w:val="18"/>
        </w:rPr>
        <w:br/>
        <w:t xml:space="preserve">    "These limits, rates and rules apply for the relevant Assessment Year only and are SUBJECT TO CHANGE in future Finance Acts -- reconfirm before relying on them in a later year."</w:t>
      </w:r>
      <w:r>
        <w:rPr>
          <w:rFonts w:ascii="Courier New" w:hAnsi="Courier New"/>
          <w:sz w:val="18"/>
        </w:rPr>
        <w:br/>
        <w:t xml:space="preserve">  ]</w:t>
      </w:r>
      <w:r>
        <w:rPr>
          <w:rFonts w:ascii="Courier New" w:hAnsi="Courier New"/>
          <w:sz w:val="18"/>
        </w:rPr>
        <w:br/>
        <w:t>}</w:t>
      </w:r>
    </w:p>
    <w:p>
      <w:pPr>
        <w:pStyle w:val="Heading1"/>
        <w:spacing w:after="150" w:before="300"/>
      </w:pPr>
      <w:r>
        <w:t xml:space="preserve">5. CA Review &amp; Delivery (original submission)</w:t>
      </w:r>
    </w:p>
    <w:p>
      <w:pPr>
        <w:spacing w:after="120"/>
      </w:pPr>
      <w:r>
        <w:t>The CA received an email with editable Word and PDF copies of this report, followed by an Approve / Needs Revision request. On approval, the client-facing version of this report (Section 7.2) was emailed to Rahul Sharma, and the CRM row's report_status was updated to REPORT SENT.</w:t>
      </w:r>
    </w:p>
    <w:p>
      <w:pPr>
        <w:pStyle w:val="Heading1"/>
        <w:spacing w:after="150" w:before="300"/>
      </w:pPr>
      <w:r>
        <w:t xml:space="preserve">6. What's New: Mandatory Verification and Auto-Caching</w:t>
      </w:r>
    </w:p>
    <w:p>
      <w:pPr>
        <w:spacing w:after="120"/>
      </w:pPr>
      <w:r>
        <w:t>Before finalizing an answer like this one, Workflow 03's AI Agent is required to run through three tools in order:</w:t>
      </w:r>
    </w:p>
    <w:p>
      <w:pPr>
        <w:pStyle w:val="ListParagraph"/>
        <w:numPr>
          <w:ilvl w:val="0"/>
          <w:numId w:val="2"/>
        </w:numPr>
        <w:spacing w:after="60"/>
      </w:pPr>
      <w:r>
        <w:t>Tax Knowledge Base Tool — checks a curated Supabase table of Income Tax Act sections and rates first (e.g. it would look up the Old vs New Regime slab boundaries and the Section 24(b)/Section 10(13A) rules referenced in Section 4's regime_reasoning above).</w:t>
      </w:r>
    </w:p>
    <w:p>
      <w:pPr>
        <w:pStyle w:val="ListParagraph"/>
        <w:numPr>
          <w:ilvl w:val="0"/>
          <w:numId w:val="2"/>
        </w:numPr>
        <w:spacing w:after="60"/>
      </w:pPr>
      <w:r>
        <w:t>Search Income Tax Website (Tavily) — only if the Knowledge Base doesn't confirm a figure, a live search restricted to incometaxindia.gov.in or egazette.gov.in is run.</w:t>
      </w:r>
    </w:p>
    <w:p>
      <w:pPr>
        <w:pStyle w:val="ListParagraph"/>
        <w:numPr>
          <w:ilvl w:val="0"/>
          <w:numId w:val="2"/>
        </w:numPr>
        <w:spacing w:after="60"/>
      </w:pPr>
      <w:r>
        <w:t>Cache Tax Info in Knowledge Base — if the live search confirms a figure, that content is written back into the Knowledge Base so the same client-independent question is answered instantly next time, without another live search.</w:t>
      </w:r>
    </w:p>
    <w:p>
      <w:pPr>
        <w:spacing w:after="120"/>
      </w:pPr>
      <w:r>
        <w:t>This was verified directly against real n8n execution logs: an execution captured for this run showed the Tax Knowledge Base Tool and the Cache Tax Info in Knowledge Base tool both firing as real Supabase reads/writes (not simulated), and a separate cache-writer sub-workflow execution confirmed a genuine row insert into the tax_knowledge_base table. Where neither the Knowledge Base nor a live search can confirm a figure, the flags array specifically includes an entry of the form “UNVERIFIED: &lt;figure&gt; could not be confirmed against the knowledge base or a live official source -- please verify manually before filing”, rather than presenting the number silently as certain — exactly as this run's own disclosure_flags illustrate in Section 4 above: “UNVERIFIED: could not confirm via a live search this session whether the equity STCG rate (20%) and LTCG exemption threshold (Rs.1,25,000) still apply unchanged for the stated Assessment Year -- please verify against the applicable Finance Act before filing.”</w:t>
      </w:r>
    </w:p>
    <w:p>
      <w:pPr>
        <w:pStyle w:val="Heading1"/>
        <w:spacing w:after="150" w:before="300"/>
      </w:pPr>
      <w:r>
        <w:t xml:space="preserve">7. What's New: Two Report Versions Instead of One</w:t>
      </w:r>
    </w:p>
    <w:p>
      <w:pPr>
        <w:spacing w:after="120"/>
      </w:pPr>
      <w:r>
        <w:t>The same parsed JSON from Section 4 is rendered twice instead of once:</w:t>
      </w:r>
    </w:p>
    <w:p>
      <w:pPr>
        <w:pStyle w:val="Heading2"/>
        <w:spacing w:after="100" w:before="200"/>
      </w:pPr>
      <w:r>
        <w:t xml:space="preserve">7.1 CA-facing version (report_html_ca)</w:t>
      </w:r>
    </w:p>
    <w:p>
      <w:pPr>
        <w:spacing w:after="120"/>
      </w:pPr>
      <w:r>
        <w:t>A single scannable HTML table — one row per field in the JSON (recommended regime, capital gains, deduction gaps, tax-saving scenarios, future planning, action items, and disclosure flags included) — sent to the CA for the Approve / Needs Revision decision, with flag rows highlighted so they stand out for quick review. This is deliberately the more detailed of the two versions and is marked “Internal review copy — not for the client.” For Rahul Sharma's case this includes, for example, the disclosure flag about the assumed HRA rent figure (Rs.2,00,000) and basic salary (Rs.9,00,000) used because the uploaded document did not separately break these out.</w:t>
      </w:r>
    </w:p>
    <w:p>
      <w:pPr>
        <w:pStyle w:val="Heading2"/>
        <w:spacing w:after="100" w:before="200"/>
      </w:pPr>
      <w:r>
        <w:t xml:space="preserve">7.2 Client-facing version (report_html_client)</w:t>
      </w:r>
    </w:p>
    <w:p>
      <w:pPr>
        <w:spacing w:after="120"/>
      </w:pPr>
      <w:r>
        <w:t>A shorter summary — the recommended ITR form and regime, the headline tax figures, a “What You Can Do” list drawn from action_items, and the tax-saving scenario (the additional Section 80D claim for senior-citizen parents, estimated at Rs.15,600 saved) — with the disclosure_flags array deliberately omitted, since an internal verification note like the HRA assumption above is CA-facing context, not something the client needs to see in those words. This version is what actually gets emailed to the client on CA approval; the CA continues to see the full version in Section 7.1 for their own decision-making.</w:t>
      </w:r>
    </w:p>
    <w:p>
      <w:pPr>
        <w:spacing w:after="120"/>
      </w:pPr>
      <w:r>
        <w:t xml:space="preserve">This split was added directly in response to review feedback that the client copy should be concise and free of internal flags, while the CA copy should stay fully detailed and easy to scan in tabular form.</w:t>
      </w:r>
    </w:p>
    <w:p>
      <w:pPr>
        <w:spacing w:before="300"/>
      </w:pPr>
      <w:r>
        <w:rPr>
          <w:i/>
          <w:iCs/>
        </w:rPr>
        <w:t xml:space="preserve">Prepared as part of the AICA Level 2 Capstone Project — AICA-L2B85, Chandigarh Branch.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2026-09-01T07:39:01.569Z</dcterms:created>
  <dcterms:modified xsi:type="dcterms:W3CDTF">2026-09-01T07:39:01.569Z</dcterms:modified>
</cp:coreProperties>
</file>

<file path=docProps/custom.xml><?xml version="1.0" encoding="utf-8"?>
<Properties xmlns="http://schemas.openxmlformats.org/officeDocument/2006/custom-properties" xmlns:vt="http://schemas.openxmlformats.org/officeDocument/2006/docPropsVTypes"/>
</file>