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E3A8A"/>
          <w:sz w:val="48"/>
        </w:rPr>
        <w:t>ReconAI — Bank Reconciliation &amp; Expense Audit Assistant</w:t>
      </w:r>
    </w:p>
    <w:p>
      <w:pPr>
        <w:spacing w:after="320"/>
      </w:pPr>
      <w:r>
        <w:rPr>
          <w:rFonts w:ascii="Segoe UI" w:hAnsi="Segoe UI"/>
          <w:i/>
          <w:color w:val="64748B"/>
          <w:sz w:val="24"/>
        </w:rPr>
        <w:t>Standard Operating Procedure &amp; Complete CA User Manual (Updated: September 2026)</w:t>
      </w: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2563EB"/>
              <w:top w:val="none"/>
              <w:right w:val="none"/>
              <w:bottom w:val="none"/>
            </w:tcBorders>
          </w:tcPr>
          <w:p>
            <w:pPr>
              <w:spacing w:before="80" w:after="80"/>
            </w:pPr>
            <w:r>
              <w:rPr>
                <w:rFonts w:ascii="Segoe UI" w:hAnsi="Segoe UI"/>
                <w:b/>
                <w:color w:val="1E3A8A"/>
              </w:rPr>
              <w:t>📌 About ReconAI</w:t>
              <w:br/>
            </w:r>
            <w:r>
              <w:rPr>
                <w:rFonts w:ascii="Segoe UI" w:hAnsi="Segoe UI"/>
                <w:sz w:val="21"/>
              </w:rPr>
              <w:t>ReconAI is an intelligent desktop application engineered specifically for Chartered Accountants, Audit Firms, and Finance Teams. It automates high-speed multi-page Bank Reconciliation (3,700+ transactions in seconds), forensic expense compliance audit checks (Duplicate vouchers, TDS disallowances, GSTIN validations), and generates 7-Tab audit deliverables in Excel and executive sign-off PDF reports.</w:t>
            </w:r>
          </w:p>
        </w:tc>
      </w:tr>
    </w:tbl>
    <w:p>
      <w:pPr>
        <w:keepNext/>
        <w:spacing w:before="280" w:after="80"/>
      </w:pPr>
      <w:r>
        <w:rPr>
          <w:rFonts w:ascii="Segoe UI" w:hAnsi="Segoe UI"/>
          <w:b/>
          <w:color w:val="1E3A8A"/>
          <w:sz w:val="36"/>
        </w:rPr>
        <w:t>1. How to Launch &amp; Run ReconAI</w:t>
      </w:r>
    </w:p>
    <w:p>
      <w:r>
        <w:t>ReconAI is packaged as a high-performance standalone 64-bit desktop application. You have two options to run the application:</w:t>
      </w:r>
    </w:p>
    <w:p>
      <w:pPr>
        <w:pStyle w:val="ListBullet"/>
      </w:pPr>
      <w:r>
        <w:rPr>
          <w:b/>
        </w:rPr>
        <w:t>Option A: Standalone Executable (Recommended)</w:t>
        <w:br/>
      </w:r>
      <w:r>
        <w:t xml:space="preserve">Navigate to </w:t>
      </w:r>
      <w:r>
        <w:rPr>
          <w:b/>
        </w:rPr>
        <w:t>D:\ReconAI\dist\</w:t>
      </w:r>
      <w:r>
        <w:t xml:space="preserve"> and double-click </w:t>
      </w:r>
      <w:r>
        <w:rPr>
          <w:b/>
        </w:rPr>
        <w:t>ReconAI.exe</w:t>
      </w:r>
      <w:r>
        <w:t>. You can right-click and choose 'Create shortcut' to place a shortcut directly on your Windows Desktop for quick launch.</w:t>
      </w:r>
    </w:p>
    <w:p>
      <w:pPr>
        <w:pStyle w:val="ListBullet"/>
      </w:pPr>
      <w:r>
        <w:rPr>
          <w:b/>
        </w:rPr>
        <w:t>Option B: From Terminal / PowerShell</w:t>
        <w:br/>
      </w:r>
      <w:r>
        <w:t>Open PowerShell or Command Prompt, navigate to the folder, and run:</w:t>
        <w:br/>
      </w:r>
      <w:r>
        <w:rPr>
          <w:rFonts w:ascii="Consolas" w:hAnsi="Consolas"/>
          <w:b/>
        </w:rPr>
        <w:t>cd D:\ReconAI</w:t>
        <w:br/>
        <w:t>python run.py</w:t>
      </w:r>
    </w:p>
    <w:p>
      <w:pPr>
        <w:keepNext/>
        <w:spacing w:before="280" w:after="80"/>
      </w:pPr>
      <w:r>
        <w:rPr>
          <w:rFonts w:ascii="Segoe UI" w:hAnsi="Segoe UI"/>
          <w:b/>
          <w:color w:val="1E3A8A"/>
          <w:sz w:val="36"/>
        </w:rPr>
        <w:t>2. Client Master Data &amp; Instant Dropdown Switching</w:t>
      </w:r>
    </w:p>
    <w:p>
      <w:r>
        <w:t>ReconAI maintains a permanent SQLite database (reconai.db) allowing you to save and switch multiple client profiles effortlessly.</w:t>
      </w:r>
    </w:p>
    <w:p>
      <w:pPr>
        <w:pStyle w:val="ListBullet"/>
      </w:pPr>
      <w:r>
        <w:rPr>
          <w:b/>
        </w:rPr>
        <w:t xml:space="preserve">Top Header Client Dropdown: </w:t>
      </w:r>
      <w:r>
        <w:t>Click the scroll-down menu labeled 'Client:' at the top bar. All saved clients (e.g. SUN HEALTH CARE, SUN EYE CARE, etc.) will appear. Click any client to load their legal profile, bank accounts, approved vendor lists, and standing auditor notes.</w:t>
      </w:r>
    </w:p>
    <w:p>
      <w:pPr>
        <w:pStyle w:val="ListBullet"/>
      </w:pPr>
      <w:r>
        <w:rPr>
          <w:b/>
        </w:rPr>
        <w:t xml:space="preserve">🏢 Client Master Button: </w:t>
      </w:r>
      <w:r>
        <w:t>Click this button in the top bar to open the master manager. You can register new clients, specify legal constitution (Proprietorship, Pvt Ltd, LLP, Trust), enter 10-digit PAN and 15-digit GSTIN, link multiple bank accounts, and configure approved vendor whitelists.</w:t>
      </w:r>
    </w:p>
    <w:p>
      <w:pPr>
        <w:keepNext/>
        <w:spacing w:before="280" w:after="80"/>
      </w:pPr>
      <w:r>
        <w:rPr>
          <w:rFonts w:ascii="Segoe UI" w:hAnsi="Segoe UI"/>
          <w:b/>
          <w:color w:val="1E3A8A"/>
          <w:sz w:val="36"/>
        </w:rPr>
        <w:t>3. Step 1: Ingest &amp; Load (Bank Statements &amp; Tally Multi-Sheet Data)</w:t>
      </w:r>
    </w:p>
    <w:p>
      <w:r>
        <w:t>Step 1 allows you to load both the Bank Statement and Client Ledger. ReconAI supports PDF, Excel (.xlsx, .xls), CSV, Word (.docx), and Phone Photos / Scans.</w:t>
      </w: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2563EB"/>
              <w:top w:val="none"/>
              <w:right w:val="none"/>
              <w:bottom w:val="none"/>
            </w:tcBorders>
          </w:tcPr>
          <w:p>
            <w:pPr>
              <w:spacing w:before="80" w:after="80"/>
            </w:pPr>
            <w:r>
              <w:rPr>
                <w:rFonts w:ascii="Segoe UI" w:hAnsi="Segoe UI"/>
                <w:b/>
                <w:color w:val="1E3A8A"/>
              </w:rPr>
              <w:t>📌 CRITICAL: Handling Multi-Sheet Tally Excel Files (3,000+ Items)</w:t>
              <w:br/>
            </w:r>
            <w:r>
              <w:rPr>
                <w:rFonts w:ascii="Segoe UI" w:hAnsi="Segoe UI"/>
                <w:sz w:val="21"/>
              </w:rPr>
              <w:t>When a client provides a Tally Excel file that contains multiple bank accounts across different sheets (e.g. Sheet1 with 616 rows, Sheet2 with 3,796 rows):</w:t>
              <w:br/>
              <w:t>1. Click 'Browse File' under 2. Client Books / Ledger.</w:t>
              <w:br/>
              <w:t>2. ReconAI will automatically scan the Excel file. If multiple sheets are present, a dropdown '📄 Select Account / Sheet:' will appear!</w:t>
              <w:br/>
              <w:t>3. ReconAI automatically selects the active bank book with the highest volume (e.g. Sheet2: BOM CA 60453403246 (SUN EYE CARE) Book with 3,796 rows).</w:t>
              <w:br/>
              <w:t>4. If you ever need to reconcile a different account from the same file, simply select it from this dropdown before clicking 'Parse &amp; Normalize Files'!</w:t>
            </w:r>
          </w:p>
        </w:tc>
      </w:tr>
    </w:tbl>
    <w:p>
      <w:r>
        <w:t>Workflow in Step 1:</w:t>
      </w:r>
    </w:p>
    <w:p>
      <w:pPr>
        <w:pStyle w:val="ListNumber"/>
      </w:pPr>
      <w:r>
        <w:rPr>
          <w:b/>
        </w:rPr>
        <w:t xml:space="preserve">1. Under Bank Statement: </w:t>
      </w:r>
      <w:r>
        <w:t>Click 'Browse File' and pick your bank statement (e.g. 113-page BOM CA BANK STATEMENTS.pdf).</w:t>
      </w:r>
    </w:p>
    <w:p>
      <w:pPr>
        <w:pStyle w:val="ListNumber"/>
      </w:pPr>
      <w:r>
        <w:rPr>
          <w:b/>
        </w:rPr>
        <w:t xml:space="preserve">2. Under Client Books / Ledger: </w:t>
      </w:r>
      <w:r>
        <w:t>Click 'Browse File' and select your Tally export (e.g. SUN HEALTH CARE HOSPITAL TALLY DATA.xlsx).</w:t>
      </w:r>
    </w:p>
    <w:p>
      <w:pPr>
        <w:pStyle w:val="ListNumber"/>
      </w:pPr>
      <w:r>
        <w:rPr>
          <w:b/>
        </w:rPr>
        <w:t xml:space="preserve">3. Verify Sheet Selection: </w:t>
      </w:r>
      <w:r>
        <w:t>Ensure the correct sheet is selected in '📄 Select Account / Sheet:' (defaults automatically to the 3,796-row Sheet2).</w:t>
      </w:r>
    </w:p>
    <w:p>
      <w:pPr>
        <w:pStyle w:val="ListNumber"/>
      </w:pPr>
      <w:r>
        <w:rPr>
          <w:b/>
        </w:rPr>
        <w:t xml:space="preserve">4. Click 'Parse &amp; Normalize Files': </w:t>
      </w:r>
      <w:r>
        <w:t>The engine parses all 3,779 bank statement transactions and 3,787 ledger vouchers in seconds and renders them in the preview tables below.</w:t>
      </w:r>
    </w:p>
    <w:p>
      <w:pPr>
        <w:pStyle w:val="ListNumber"/>
      </w:pPr>
      <w:r>
        <w:rPr>
          <w:b/>
        </w:rPr>
        <w:t xml:space="preserve">5. Click '▶ Run Automated Reconciliation &amp; Audit': </w:t>
      </w:r>
      <w:r>
        <w:t>ReconAI executes the multi-pass reconciliation engine and expense forensic audit, advancing directly to Step 2.</w:t>
      </w:r>
    </w:p>
    <w:p>
      <w:pPr>
        <w:keepNext/>
        <w:spacing w:before="280" w:after="80"/>
      </w:pPr>
      <w:r>
        <w:rPr>
          <w:rFonts w:ascii="Segoe UI" w:hAnsi="Segoe UI"/>
          <w:b/>
          <w:color w:val="1E3A8A"/>
          <w:sz w:val="36"/>
        </w:rPr>
        <w:t>4. Step 2: Multi-Pass Reconciliation Engine</w:t>
      </w:r>
    </w:p>
    <w:p>
      <w:r>
        <w:t>ReconAI matches transactions using a 3-tier matching cascade:</w:t>
      </w:r>
    </w:p>
    <w:p>
      <w:pPr>
        <w:pStyle w:val="ListBullet"/>
      </w:pPr>
      <w:r>
        <w:rPr>
          <w:b/>
        </w:rPr>
        <w:t xml:space="preserve">Pass 1 — Deterministic Matching: </w:t>
      </w:r>
      <w:r>
        <w:t>Matches 1-to-1 exact amounts on same dates, cheque numbers, UTR references, and timing differences (1 to 5 business days for cheque clearance). Multiple identical entries on the same date are systematically paired 1-to-1.</w:t>
      </w:r>
    </w:p>
    <w:p>
      <w:pPr>
        <w:pStyle w:val="ListBullet"/>
      </w:pPr>
      <w:r>
        <w:rPr>
          <w:b/>
        </w:rPr>
        <w:t xml:space="preserve">Pass 2 — RapidFuzz Semantic Narration Matching: </w:t>
      </w:r>
      <w:r>
        <w:t>Calculates token-sort and token-set similarity across vendor names, ignoring channel noise (NEFT, RTGS, IMPS, UPI, CHQ).</w:t>
      </w:r>
    </w:p>
    <w:p>
      <w:pPr>
        <w:pStyle w:val="ListBullet"/>
      </w:pPr>
      <w:r>
        <w:rPr>
          <w:b/>
        </w:rPr>
        <w:t xml:space="preserve">Pass 3 — Unmatched Diagnostic Analysis: </w:t>
      </w:r>
      <w:r>
        <w:t>Diagnoses unmatched entries into actionable causes: Direct Bank Debits (bank charges, loan EMIs), Direct Deposits (Govt scheme credits), and Outstanding Unpresented Cheques.</w:t>
      </w:r>
    </w:p>
    <w:p>
      <w:pPr>
        <w:pStyle w:val="ListBullet"/>
      </w:pPr>
      <w:r>
        <w:rPr>
          <w:b/>
        </w:rPr>
        <w:t xml:space="preserve">Manual Override &amp; Undo/Redo: </w:t>
      </w:r>
      <w:r>
        <w:t>Select any unmatched statement and ledger entry and click 'Manual Match Pair' or press Ctrl+Z to undo.</w:t>
      </w:r>
    </w:p>
    <w:p>
      <w:pPr>
        <w:keepNext/>
        <w:spacing w:before="280" w:after="80"/>
      </w:pPr>
      <w:r>
        <w:rPr>
          <w:rFonts w:ascii="Segoe UI" w:hAnsi="Segoe UI"/>
          <w:b/>
          <w:color w:val="1E3A8A"/>
          <w:sz w:val="36"/>
        </w:rPr>
        <w:t>5. Step 3: Expense Audit &amp; Editing Forensic Risk Findings</w:t>
      </w:r>
    </w:p>
    <w:p>
      <w:r>
        <w:t>Step 3 analyzes all client vouchers for forensic tax and regulatory risks:</w:t>
      </w:r>
    </w:p>
    <w:p>
      <w:pPr>
        <w:pStyle w:val="ListBullet"/>
      </w:pPr>
      <w:r>
        <w:rPr>
          <w:b/>
        </w:rPr>
        <w:t xml:space="preserve">🔴 High Severity: </w:t>
      </w:r>
      <w:r>
        <w:t>Duplicate voucher payments within 3 days, payments &gt; ₹50,000 without partner authorization, invalid 15-digit GSTIN formats (loss of Input Tax Credit), and contract payments &gt; ₹30,000 lacking Section 194C/194J TDS compliance.</w:t>
      </w:r>
    </w:p>
    <w:p>
      <w:pPr>
        <w:pStyle w:val="ListBullet"/>
      </w:pPr>
      <w:r>
        <w:rPr>
          <w:b/>
        </w:rPr>
        <w:t xml:space="preserve">🟡 Medium Severity: </w:t>
      </w:r>
      <w:r>
        <w:t>Large round-figure sums (₹25k, ₹50k, ₹1 Lakh) indicating unvouched cash advances, vague descriptions ('Office Exp', 'Misc'), and unapproved vendors.</w:t>
      </w:r>
    </w:p>
    <w:p>
      <w:pPr>
        <w:pStyle w:val="ListBullet"/>
      </w:pPr>
      <w:r>
        <w:rPr>
          <w:b/>
        </w:rPr>
        <w:t xml:space="preserve">🔵 Low / Info: </w:t>
      </w:r>
      <w:r>
        <w:t>Weekend transactions (Saturday/Sunday cutoff verifications).</w:t>
      </w: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2563EB"/>
              <w:top w:val="none"/>
              <w:right w:val="none"/>
              <w:bottom w:val="none"/>
            </w:tcBorders>
          </w:tcPr>
          <w:p>
            <w:pPr>
              <w:spacing w:before="80" w:after="80"/>
            </w:pPr>
            <w:r>
              <w:rPr>
                <w:rFonts w:ascii="Segoe UI" w:hAnsi="Segoe UI"/>
                <w:b/>
                <w:color w:val="1E3A8A"/>
              </w:rPr>
              <w:t>📌 How to Edit Forensic Risk &amp; Regulatory Findings</w:t>
              <w:br/>
            </w:r>
            <w:r>
              <w:rPr>
                <w:rFonts w:ascii="Segoe UI" w:hAnsi="Segoe UI"/>
                <w:sz w:val="21"/>
              </w:rPr>
              <w:t>1. Select any row in the exceptions table on the left.</w:t>
              <w:br/>
              <w:t>2. On the right panel, the text boxes are now fully editable!</w:t>
              <w:br/>
              <w:t>3. Edit the '✏️ Auditor Finding / Legal Reasoning' box to add your custom observations or client explanations.</w:t>
              <w:br/>
              <w:t>4. Edit the '✏️ Recommended Action for CA Team' box to customize instructions.</w:t>
              <w:br/>
              <w:t>5. Adjust Severity via the dropdown if needed.</w:t>
              <w:br/>
              <w:t>6. Click '💾 Save &amp; Apply Finding Changes'. Your custom findings will automatically be embedded in the final exported reports!</w:t>
            </w:r>
          </w:p>
        </w:tc>
      </w:tr>
    </w:tbl>
    <w:p>
      <w:pPr>
        <w:keepNext/>
        <w:spacing w:before="280" w:after="80"/>
      </w:pPr>
      <w:r>
        <w:rPr>
          <w:rFonts w:ascii="Segoe UI" w:hAnsi="Segoe UI"/>
          <w:b/>
          <w:color w:val="1E3A8A"/>
          <w:sz w:val="36"/>
        </w:rPr>
        <w:t>6. Step 4: Report &amp; Deliverables Export</w:t>
      </w:r>
    </w:p>
    <w:p>
      <w:r>
        <w:t>ReconAI generates two audit deliverables:</w:t>
      </w:r>
    </w:p>
    <w:p>
      <w:pPr>
        <w:pStyle w:val="ListBullet"/>
      </w:pPr>
      <w:r>
        <w:rPr>
          <w:b/>
        </w:rPr>
        <w:t xml:space="preserve">📊 Excel 7-Tab Workbook (.xlsx): </w:t>
      </w:r>
      <w:r>
        <w:t>Features BRS &amp; Summary calculation, Matched Records, Probable Matches, Unmatched Bank, Unmatched Books, Expense Exceptions, and complete Audit Trail.</w:t>
      </w:r>
    </w:p>
    <w:p>
      <w:pPr>
        <w:pStyle w:val="ListBullet"/>
      </w:pPr>
      <w:r>
        <w:rPr>
          <w:b/>
        </w:rPr>
        <w:t xml:space="preserve">📄 Executive CA Sign-Off PDF (.pdf): </w:t>
      </w:r>
      <w:r>
        <w:t>A formal audit memorandum including Executive KPI Summary, Real-Time BRS Statement, Exception Register, Auditor Observations &amp; Professional CA Partner Qualification, with official partner sign-off blocks.</w:t>
      </w:r>
    </w:p>
    <w:p>
      <w:pPr>
        <w:pStyle w:val="ListBullet"/>
      </w:pPr>
      <w:r>
        <w:rPr>
          <w:b/>
        </w:rPr>
        <w:t xml:space="preserve">Auditor Remarks in UI: </w:t>
      </w:r>
      <w:r>
        <w:t>In Step 4, enter your custom observations and partner qualifications before clicking 'Export Excel Report' or 'Export PDF Summary'.</w:t>
      </w:r>
    </w:p>
    <w:p>
      <w:pPr>
        <w:keepNext/>
        <w:spacing w:before="280" w:after="80"/>
      </w:pPr>
      <w:r>
        <w:rPr>
          <w:rFonts w:ascii="Segoe UI" w:hAnsi="Segoe UI"/>
          <w:b/>
          <w:color w:val="1E3A8A"/>
          <w:sz w:val="36"/>
        </w:rPr>
        <w:t>7. UI Buttons &amp; Controls Reference</w:t>
      </w:r>
    </w:p>
    <w:tbl>
      <w:tblPr>
        <w:tblW w:type="auto" w:w="0"/>
        <w:jc w:val="center"/>
        <w:tblLook w:firstColumn="1" w:firstRow="1" w:lastColumn="0" w:lastRow="0" w:noHBand="0" w:noVBand="1" w:val="04A0"/>
      </w:tblPr>
      <w:tblGrid>
        <w:gridCol w:w="3360"/>
        <w:gridCol w:w="3360"/>
        <w:gridCol w:w="3360"/>
      </w:tblGrid>
      <w:tr>
        <w:tc>
          <w:tcPr>
            <w:tcW w:type="dxa" w:w="3360"/>
            <w:shd w:fill="1E3A8A"/>
          </w:tcPr>
          <w:p>
            <w:r>
              <w:rPr>
                <w:rFonts w:ascii="Segoe UI" w:hAnsi="Segoe UI"/>
                <w:b/>
                <w:color w:val="FFFFFF"/>
              </w:rPr>
              <w:t>Button / Control</w:t>
            </w:r>
          </w:p>
        </w:tc>
        <w:tc>
          <w:tcPr>
            <w:tcW w:type="dxa" w:w="3360"/>
            <w:shd w:fill="1E3A8A"/>
          </w:tcPr>
          <w:p>
            <w:r>
              <w:rPr>
                <w:rFonts w:ascii="Segoe UI" w:hAnsi="Segoe UI"/>
                <w:b/>
                <w:color w:val="FFFFFF"/>
              </w:rPr>
              <w:t>Location</w:t>
            </w:r>
          </w:p>
        </w:tc>
        <w:tc>
          <w:tcPr>
            <w:tcW w:type="dxa" w:w="3360"/>
            <w:shd w:fill="1E3A8A"/>
          </w:tcPr>
          <w:p>
            <w:r>
              <w:rPr>
                <w:rFonts w:ascii="Segoe UI" w:hAnsi="Segoe UI"/>
                <w:b/>
                <w:color w:val="FFFFFF"/>
              </w:rPr>
              <w:t>Function &amp; Action</w:t>
            </w:r>
          </w:p>
        </w:tc>
      </w:tr>
      <w:tr>
        <w:tc>
          <w:tcPr>
            <w:tcW w:type="dxa" w:w="3360"/>
          </w:tcPr>
          <w:p>
            <w:r>
              <w:rPr>
                <w:rFonts w:ascii="Segoe UI" w:hAnsi="Segoe UI"/>
                <w:sz w:val="19"/>
              </w:rPr>
              <w:t>🔄 Refresh</w:t>
            </w:r>
          </w:p>
        </w:tc>
        <w:tc>
          <w:tcPr>
            <w:tcW w:type="dxa" w:w="3360"/>
          </w:tcPr>
          <w:p>
            <w:r>
              <w:rPr>
                <w:rFonts w:ascii="Segoe UI" w:hAnsi="Segoe UI"/>
                <w:sz w:val="19"/>
              </w:rPr>
              <w:t>Top Navigation Bar</w:t>
            </w:r>
          </w:p>
        </w:tc>
        <w:tc>
          <w:tcPr>
            <w:tcW w:type="dxa" w:w="3360"/>
          </w:tcPr>
          <w:p>
            <w:r>
              <w:rPr>
                <w:rFonts w:ascii="Segoe UI" w:hAnsi="Segoe UI"/>
                <w:sz w:val="19"/>
              </w:rPr>
              <w:t>Refreshes client master list, syncs active session data, and reloads current views.</w:t>
            </w:r>
          </w:p>
        </w:tc>
      </w:tr>
      <w:tr>
        <w:tc>
          <w:tcPr>
            <w:tcW w:type="dxa" w:w="3360"/>
          </w:tcPr>
          <w:p>
            <w:r>
              <w:rPr>
                <w:rFonts w:ascii="Segoe UI" w:hAnsi="Segoe UI"/>
                <w:sz w:val="19"/>
              </w:rPr>
              <w:t>🔄 Reset / Clear Files</w:t>
            </w:r>
          </w:p>
        </w:tc>
        <w:tc>
          <w:tcPr>
            <w:tcW w:type="dxa" w:w="3360"/>
          </w:tcPr>
          <w:p>
            <w:r>
              <w:rPr>
                <w:rFonts w:ascii="Segoe UI" w:hAnsi="Segoe UI"/>
                <w:sz w:val="19"/>
              </w:rPr>
              <w:t>Step 1 (Ingest &amp; Load)</w:t>
            </w:r>
          </w:p>
        </w:tc>
        <w:tc>
          <w:tcPr>
            <w:tcW w:type="dxa" w:w="3360"/>
          </w:tcPr>
          <w:p>
            <w:r>
              <w:rPr>
                <w:rFonts w:ascii="Segoe UI" w:hAnsi="Segoe UI"/>
                <w:sz w:val="19"/>
              </w:rPr>
              <w:t>Clears all uploaded statement &amp; ledger files, resets row counts, and clears preview tables for a fresh run.</w:t>
            </w:r>
          </w:p>
        </w:tc>
      </w:tr>
      <w:tr>
        <w:tc>
          <w:tcPr>
            <w:tcW w:type="dxa" w:w="3360"/>
          </w:tcPr>
          <w:p>
            <w:r>
              <w:rPr>
                <w:rFonts w:ascii="Segoe UI" w:hAnsi="Segoe UI"/>
                <w:sz w:val="19"/>
              </w:rPr>
              <w:t>📄 Select Account / Sheet</w:t>
            </w:r>
          </w:p>
        </w:tc>
        <w:tc>
          <w:tcPr>
            <w:tcW w:type="dxa" w:w="3360"/>
          </w:tcPr>
          <w:p>
            <w:r>
              <w:rPr>
                <w:rFonts w:ascii="Segoe UI" w:hAnsi="Segoe UI"/>
                <w:sz w:val="19"/>
              </w:rPr>
              <w:t>Step 1 (Client Ledger)</w:t>
            </w:r>
          </w:p>
        </w:tc>
        <w:tc>
          <w:tcPr>
            <w:tcW w:type="dxa" w:w="3360"/>
          </w:tcPr>
          <w:p>
            <w:r>
              <w:rPr>
                <w:rFonts w:ascii="Segoe UI" w:hAnsi="Segoe UI"/>
                <w:sz w:val="19"/>
              </w:rPr>
              <w:t>Allows switching between multiple bank accounts or sheets in a multi-account Tally Excel file.</w:t>
            </w:r>
          </w:p>
        </w:tc>
      </w:tr>
      <w:tr>
        <w:tc>
          <w:tcPr>
            <w:tcW w:type="dxa" w:w="3360"/>
          </w:tcPr>
          <w:p>
            <w:r>
              <w:rPr>
                <w:rFonts w:ascii="Segoe UI" w:hAnsi="Segoe UI"/>
                <w:sz w:val="19"/>
              </w:rPr>
              <w:t>🏢 Client Master</w:t>
            </w:r>
          </w:p>
        </w:tc>
        <w:tc>
          <w:tcPr>
            <w:tcW w:type="dxa" w:w="3360"/>
          </w:tcPr>
          <w:p>
            <w:r>
              <w:rPr>
                <w:rFonts w:ascii="Segoe UI" w:hAnsi="Segoe UI"/>
                <w:sz w:val="19"/>
              </w:rPr>
              <w:t>Top Navigation Bar</w:t>
            </w:r>
          </w:p>
        </w:tc>
        <w:tc>
          <w:tcPr>
            <w:tcW w:type="dxa" w:w="3360"/>
          </w:tcPr>
          <w:p>
            <w:r>
              <w:rPr>
                <w:rFonts w:ascii="Segoe UI" w:hAnsi="Segoe UI"/>
                <w:sz w:val="19"/>
              </w:rPr>
              <w:t>Opens the full Client Master dialog to create, update, or delete client profiles and bank accounts.</w:t>
            </w:r>
          </w:p>
        </w:tc>
      </w:tr>
      <w:tr>
        <w:tc>
          <w:tcPr>
            <w:tcW w:type="dxa" w:w="3360"/>
          </w:tcPr>
          <w:p>
            <w:r>
              <w:rPr>
                <w:rFonts w:ascii="Segoe UI" w:hAnsi="Segoe UI"/>
                <w:sz w:val="19"/>
              </w:rPr>
              <w:t>💾 Save Session</w:t>
            </w:r>
          </w:p>
        </w:tc>
        <w:tc>
          <w:tcPr>
            <w:tcW w:type="dxa" w:w="3360"/>
          </w:tcPr>
          <w:p>
            <w:r>
              <w:rPr>
                <w:rFonts w:ascii="Segoe UI" w:hAnsi="Segoe UI"/>
                <w:sz w:val="19"/>
              </w:rPr>
              <w:t>Top Navigation Bar</w:t>
            </w:r>
          </w:p>
        </w:tc>
        <w:tc>
          <w:tcPr>
            <w:tcW w:type="dxa" w:w="3360"/>
          </w:tcPr>
          <w:p>
            <w:r>
              <w:rPr>
                <w:rFonts w:ascii="Segoe UI" w:hAnsi="Segoe UI"/>
                <w:sz w:val="19"/>
              </w:rPr>
              <w:t>Saves the entire active reconciliation session to the SQLite database for future reference.</w:t>
            </w:r>
          </w:p>
        </w:tc>
      </w:tr>
      <w:tr>
        <w:tc>
          <w:tcPr>
            <w:tcW w:type="dxa" w:w="3360"/>
          </w:tcPr>
          <w:p>
            <w:r>
              <w:rPr>
                <w:rFonts w:ascii="Segoe UI" w:hAnsi="Segoe UI"/>
                <w:sz w:val="19"/>
              </w:rPr>
              <w:t>💾 Save &amp; Apply Finding Changes</w:t>
            </w:r>
          </w:p>
        </w:tc>
        <w:tc>
          <w:tcPr>
            <w:tcW w:type="dxa" w:w="3360"/>
          </w:tcPr>
          <w:p>
            <w:r>
              <w:rPr>
                <w:rFonts w:ascii="Segoe UI" w:hAnsi="Segoe UI"/>
                <w:sz w:val="19"/>
              </w:rPr>
              <w:t>Step 3 (Expense Audit)</w:t>
            </w:r>
          </w:p>
        </w:tc>
        <w:tc>
          <w:tcPr>
            <w:tcW w:type="dxa" w:w="3360"/>
          </w:tcPr>
          <w:p>
            <w:r>
              <w:rPr>
                <w:rFonts w:ascii="Segoe UI" w:hAnsi="Segoe UI"/>
                <w:sz w:val="19"/>
              </w:rPr>
              <w:t>Saves custom edited auditor reasons and recommended actions into the active audit deliverable.</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