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F3A"/>
          <w:sz w:val="32"/>
        </w:rPr>
        <w:t>INTERCOMPANY INVOICE CONSISTENCY REVIEW</w:t>
      </w:r>
    </w:p>
    <w:p>
      <w:r>
        <w:rPr>
          <w:i/>
          <w:color w:val="9C7A2E"/>
        </w:rPr>
        <w:t>Internal Working Paper — Batch Reconciliation Summary</w:t>
      </w:r>
    </w:p>
    <w:p>
      <w:r>
        <w:t>Generated: 2026-09-04</w:t>
      </w:r>
    </w:p>
    <w:p>
      <w:r>
        <w:t>Reference agreement: Management Service Agreement.pdf (Meridian Textiles Holdings B.V. — Meridian Textiles India Private Limited)</w:t>
      </w:r>
    </w:p>
    <w:p>
      <w:r>
        <w:t>Fee formula per agreement: 5% of Operating Revenue (Extraordinary/Non-Operating Income excluded per Clause 2).</w:t>
      </w:r>
    </w:p>
    <w:p>
      <w:r>
        <w:t>Invoices reviewed: 2</w:t>
      </w:r>
    </w:p>
    <w:p/>
    <w:p>
      <w:pPr>
        <w:pStyle w:val="Heading1"/>
      </w:pPr>
      <w:r>
        <w:t>1. Batch Summary</w:t>
      </w:r>
    </w:p>
    <w:tbl>
      <w:tblPr>
        <w:tblStyle w:val="TableGrid"/>
        <w:tblW w:type="auto" w:w="0"/>
        <w:tblLook w:firstColumn="1" w:firstRow="1" w:lastColumn="0" w:lastRow="0" w:noHBand="0" w:noVBand="1" w:val="04A0"/>
      </w:tblPr>
      <w:tblGrid>
        <w:gridCol w:w="4320"/>
        <w:gridCol w:w="4320"/>
      </w:tblGrid>
      <w:tr>
        <w:tc>
          <w:tcPr>
            <w:tcW w:type="dxa" w:w="3600"/>
            <w:shd w:val="clear" w:fill="0B1F3A"/>
          </w:tcPr>
          <w:p>
            <w:r>
              <w:rPr>
                <w:b/>
                <w:color w:val="FFFFFF"/>
              </w:rPr>
              <w:t>Status</w:t>
            </w:r>
          </w:p>
        </w:tc>
        <w:tc>
          <w:tcPr>
            <w:tcW w:type="dxa" w:w="2160"/>
            <w:shd w:val="clear" w:fill="0B1F3A"/>
          </w:tcPr>
          <w:p>
            <w:r>
              <w:rPr>
                <w:b/>
                <w:color w:val="FFFFFF"/>
              </w:rPr>
              <w:t>Count</w:t>
            </w:r>
          </w:p>
        </w:tc>
      </w:tr>
      <w:tr>
        <w:tc>
          <w:tcPr>
            <w:tcW w:type="dxa" w:w="3600"/>
          </w:tcPr>
          <w:p>
            <w:r>
              <w:rPr>
                <w:b/>
                <w:color w:val="A3241F"/>
              </w:rPr>
              <w:t>CRITICAL</w:t>
            </w:r>
          </w:p>
        </w:tc>
        <w:tc>
          <w:tcPr>
            <w:tcW w:type="dxa" w:w="2160"/>
          </w:tcPr>
          <w:p>
            <w:r>
              <w:t>1</w:t>
            </w:r>
          </w:p>
        </w:tc>
      </w:tr>
      <w:tr>
        <w:tc>
          <w:tcPr>
            <w:tcW w:type="dxa" w:w="3600"/>
          </w:tcPr>
          <w:p>
            <w:r>
              <w:rPr>
                <w:b/>
                <w:color w:val="1E7A3A"/>
              </w:rPr>
              <w:t>OK</w:t>
            </w:r>
          </w:p>
        </w:tc>
        <w:tc>
          <w:tcPr>
            <w:tcW w:type="dxa" w:w="2160"/>
          </w:tcPr>
          <w:p>
            <w:r>
              <w:t>1</w:t>
            </w:r>
          </w:p>
        </w:tc>
      </w:tr>
    </w:tbl>
    <w:p/>
    <w:p>
      <w:pPr>
        <w:pStyle w:val="Heading1"/>
      </w:pPr>
      <w:r>
        <w:t>2. Revenue Support Schedules Referenced</w:t>
      </w:r>
    </w:p>
    <w:p>
      <w:r>
        <w:t>The figures below were certified by finance in monthly Revenue Support Schedules supplied separately from the agreement, and are the basis for the expected-fee calculations in Section 5.</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0B1F3A"/>
          </w:tcPr>
          <w:p>
            <w:r>
              <w:rPr>
                <w:b/>
                <w:color w:val="FFFFFF"/>
              </w:rPr>
              <w:t>Month</w:t>
            </w:r>
          </w:p>
        </w:tc>
        <w:tc>
          <w:tcPr>
            <w:tcW w:type="dxa" w:w="2592"/>
            <w:shd w:val="clear" w:fill="0B1F3A"/>
          </w:tcPr>
          <w:p>
            <w:r>
              <w:rPr>
                <w:b/>
                <w:color w:val="FFFFFF"/>
              </w:rPr>
              <w:t>Operating Revenue</w:t>
            </w:r>
          </w:p>
        </w:tc>
        <w:tc>
          <w:tcPr>
            <w:tcW w:type="dxa" w:w="2592"/>
            <w:shd w:val="clear" w:fill="0B1F3A"/>
          </w:tcPr>
          <w:p>
            <w:r>
              <w:rPr>
                <w:b/>
                <w:color w:val="FFFFFF"/>
              </w:rPr>
              <w:t>Extraordinary Income</w:t>
            </w:r>
          </w:p>
        </w:tc>
        <w:tc>
          <w:tcPr>
            <w:tcW w:type="dxa" w:w="2160"/>
            <w:shd w:val="clear" w:fill="0B1F3A"/>
          </w:tcPr>
          <w:p>
            <w:r>
              <w:rPr>
                <w:b/>
                <w:color w:val="FFFFFF"/>
              </w:rPr>
              <w:t>Total Revenue</w:t>
            </w:r>
          </w:p>
        </w:tc>
      </w:tr>
      <w:tr>
        <w:tc>
          <w:tcPr>
            <w:tcW w:type="dxa" w:w="2160"/>
          </w:tcPr>
          <w:p>
            <w:r>
              <w:rPr>
                <w:sz w:val="18"/>
              </w:rPr>
              <w:t>April 2025</w:t>
            </w:r>
          </w:p>
        </w:tc>
        <w:tc>
          <w:tcPr>
            <w:tcW w:type="dxa" w:w="2592"/>
          </w:tcPr>
          <w:p>
            <w:r>
              <w:rPr>
                <w:sz w:val="18"/>
              </w:rPr>
              <w:t>84,000,000</w:t>
            </w:r>
          </w:p>
        </w:tc>
        <w:tc>
          <w:tcPr>
            <w:tcW w:type="dxa" w:w="2592"/>
          </w:tcPr>
          <w:p>
            <w:r>
              <w:rPr>
                <w:sz w:val="18"/>
              </w:rPr>
              <w:t>0</w:t>
            </w:r>
          </w:p>
        </w:tc>
        <w:tc>
          <w:tcPr>
            <w:tcW w:type="dxa" w:w="2160"/>
          </w:tcPr>
          <w:p>
            <w:r>
              <w:rPr>
                <w:sz w:val="18"/>
              </w:rPr>
              <w:t>84,000,000</w:t>
            </w:r>
          </w:p>
        </w:tc>
      </w:tr>
      <w:tr>
        <w:tc>
          <w:tcPr>
            <w:tcW w:type="dxa" w:w="2160"/>
          </w:tcPr>
          <w:p>
            <w:r>
              <w:rPr>
                <w:sz w:val="18"/>
              </w:rPr>
              <w:t>August 2025</w:t>
            </w:r>
          </w:p>
        </w:tc>
        <w:tc>
          <w:tcPr>
            <w:tcW w:type="dxa" w:w="2592"/>
          </w:tcPr>
          <w:p>
            <w:r>
              <w:rPr>
                <w:sz w:val="18"/>
              </w:rPr>
              <w:t>93,500,000</w:t>
            </w:r>
          </w:p>
        </w:tc>
        <w:tc>
          <w:tcPr>
            <w:tcW w:type="dxa" w:w="2592"/>
          </w:tcPr>
          <w:p>
            <w:r>
              <w:rPr>
                <w:b/>
                <w:color w:val="A8710D"/>
                <w:sz w:val="18"/>
              </w:rPr>
              <w:t>4,000,000</w:t>
            </w:r>
          </w:p>
        </w:tc>
        <w:tc>
          <w:tcPr>
            <w:tcW w:type="dxa" w:w="2160"/>
          </w:tcPr>
          <w:p>
            <w:r>
              <w:rPr>
                <w:sz w:val="18"/>
              </w:rPr>
              <w:t>97,500,000</w:t>
            </w:r>
          </w:p>
        </w:tc>
      </w:tr>
    </w:tbl>
    <w:p/>
    <w:p>
      <w:pPr>
        <w:pStyle w:val="Heading1"/>
      </w:pPr>
      <w:r>
        <w:t>3. Executive Summary</w:t>
      </w:r>
    </w:p>
    <w:p>
      <w:r>
        <w:t>Two invoices were reconciled against the master intercompany agreement with Meridian Textiles Holdings B.V. The April 2025 invoice passed all checks with no issues. The August 2025 invoice was flagged CRITICAL due to two findings: a currency mismatch (invoice denominated in USD instead of required INR) and an incorrect fee percentage applied at 4.81% instead of the agreed 5.0%, resulting in an underbilling of INR 175,000. Additionally, a FLAG was raised for a referenced revenue mismatch (INR 90,000,000 invoiced vs INR 93,500,000 actual Operating Revenue per schedule).</w:t>
      </w:r>
    </w:p>
    <w:p>
      <w:pPr>
        <w:pStyle w:val="Heading1"/>
      </w:pPr>
      <w:r>
        <w:t>4. Prioritized Items</w:t>
      </w:r>
    </w:p>
    <w:p>
      <w:r>
        <w:t>1. CRITICAL - August 2025 Invoice.pdf: Currency mismatch (USD invoiced vs INR required by agreement)</w:t>
      </w:r>
    </w:p>
    <w:p>
      <w:r>
        <w:t>2. CRITICAL - August 2025 Invoice.pdf: Incorrect fee percentage applied (4.81% vs agreed 5.0%), underbilled by INR 175,000</w:t>
      </w:r>
    </w:p>
    <w:p>
      <w:r>
        <w:t>3. FLAG - August 2025 Invoice.pdf: Referenced revenue mismatch (INR 90,000,000 vs actual Operating Revenue of INR 93,500,000)</w:t>
      </w:r>
    </w:p>
    <w:p>
      <w:r>
        <w:t>4. OK - April 2025 Invoice.pdf: All checks passed; no action required</w:t>
      </w:r>
    </w:p>
    <w:p/>
    <w:p>
      <w:pPr>
        <w:pStyle w:val="Heading1"/>
      </w:pPr>
      <w:r>
        <w:t>5. Per-Invoice Detailed Findings</w:t>
      </w:r>
    </w:p>
    <w:p>
      <w:r>
        <w:rPr>
          <w:b/>
          <w:color w:val="1E7A3A"/>
          <w:sz w:val="22"/>
        </w:rPr>
        <w:t>April 2025 Invoice.pdf  —  OK</w:t>
      </w:r>
    </w:p>
    <w:p>
      <w:r>
        <w:rPr>
          <w:i/>
          <w:color w:val="666666"/>
          <w:sz w:val="17"/>
        </w:rPr>
        <w:t>Extraction method: PDF_TEXT</w:t>
      </w:r>
    </w:p>
    <w:tbl>
      <w:tblPr>
        <w:tblStyle w:val="TableGrid"/>
        <w:tblW w:type="auto" w:w="0"/>
        <w:tblLook w:firstColumn="1" w:firstRow="1" w:lastColumn="0" w:lastRow="0" w:noHBand="0" w:noVBand="1" w:val="04A0"/>
      </w:tblPr>
      <w:tblGrid>
        <w:gridCol w:w="4320"/>
        <w:gridCol w:w="4320"/>
      </w:tblGrid>
      <w:tr>
        <w:tc>
          <w:tcPr>
            <w:tcW w:type="dxa" w:w="1296"/>
          </w:tcPr>
          <w:p>
            <w:r>
              <w:rPr>
                <w:b/>
                <w:color w:val="1E7A3A"/>
                <w:sz w:val="18"/>
              </w:rPr>
              <w:t>OK</w:t>
            </w:r>
          </w:p>
        </w:tc>
        <w:tc>
          <w:tcPr>
            <w:tcW w:type="dxa" w:w="7920"/>
          </w:tcPr>
          <w:p>
            <w:r>
              <w:rPr>
                <w:sz w:val="18"/>
              </w:rPr>
              <w:t>Counterparty Name Match: Provider name 'Meridian Textiles Holdings B.V.' matches agreement (similarity: 100%).</w:t>
            </w:r>
          </w:p>
        </w:tc>
      </w:tr>
      <w:tr>
        <w:tc>
          <w:tcPr>
            <w:tcW w:type="dxa" w:w="1296"/>
          </w:tcPr>
          <w:p>
            <w:r>
              <w:rPr>
                <w:b/>
                <w:color w:val="1E7A3A"/>
                <w:sz w:val="18"/>
              </w:rPr>
              <w:t>OK</w:t>
            </w:r>
          </w:p>
        </w:tc>
        <w:tc>
          <w:tcPr>
            <w:tcW w:type="dxa" w:w="7920"/>
          </w:tcPr>
          <w:p>
            <w:r>
              <w:rPr>
                <w:sz w:val="18"/>
              </w:rPr>
              <w:t>Currency Match: Invoice currency (INR) matches agreement.</w:t>
            </w:r>
          </w:p>
        </w:tc>
      </w:tr>
      <w:tr>
        <w:tc>
          <w:tcPr>
            <w:tcW w:type="dxa" w:w="1296"/>
          </w:tcPr>
          <w:p>
            <w:r>
              <w:rPr>
                <w:b/>
                <w:color w:val="1E7A3A"/>
                <w:sz w:val="18"/>
              </w:rPr>
              <w:t>OK</w:t>
            </w:r>
          </w:p>
        </w:tc>
        <w:tc>
          <w:tcPr>
            <w:tcW w:type="dxa" w:w="7920"/>
          </w:tcPr>
          <w:p>
            <w:r>
              <w:rPr>
                <w:sz w:val="18"/>
              </w:rPr>
              <w:t>Period Within Term: Invoice period falls within effective term.</w:t>
            </w:r>
          </w:p>
        </w:tc>
      </w:tr>
      <w:tr>
        <w:tc>
          <w:tcPr>
            <w:tcW w:type="dxa" w:w="1296"/>
          </w:tcPr>
          <w:p>
            <w:r>
              <w:rPr>
                <w:b/>
                <w:color w:val="1E7A3A"/>
                <w:sz w:val="18"/>
              </w:rPr>
              <w:t>OK</w:t>
            </w:r>
          </w:p>
        </w:tc>
        <w:tc>
          <w:tcPr>
            <w:tcW w:type="dxa" w:w="7920"/>
          </w:tcPr>
          <w:p>
            <w:r>
              <w:rPr>
                <w:sz w:val="18"/>
              </w:rPr>
              <w:t>Fee Amount Match: Invoiced amount matches 5.0% of April 2025 Operating Revenue (INR 4,200,000).</w:t>
            </w:r>
          </w:p>
        </w:tc>
      </w:tr>
    </w:tbl>
    <w:p/>
    <w:p>
      <w:r>
        <w:rPr>
          <w:b/>
          <w:color w:val="A3241F"/>
          <w:sz w:val="22"/>
        </w:rPr>
        <w:t>August 2025 Invoice.pdf  —  CRITICAL</w:t>
      </w:r>
    </w:p>
    <w:p>
      <w:r>
        <w:rPr>
          <w:i/>
          <w:color w:val="666666"/>
          <w:sz w:val="17"/>
        </w:rPr>
        <w:t>Extraction method: PDF_TEXT</w:t>
      </w:r>
    </w:p>
    <w:tbl>
      <w:tblPr>
        <w:tblStyle w:val="TableGrid"/>
        <w:tblW w:type="auto" w:w="0"/>
        <w:tblLook w:firstColumn="1" w:firstRow="1" w:lastColumn="0" w:lastRow="0" w:noHBand="0" w:noVBand="1" w:val="04A0"/>
      </w:tblPr>
      <w:tblGrid>
        <w:gridCol w:w="4320"/>
        <w:gridCol w:w="4320"/>
      </w:tblGrid>
      <w:tr>
        <w:tc>
          <w:tcPr>
            <w:tcW w:type="dxa" w:w="1296"/>
          </w:tcPr>
          <w:p>
            <w:r>
              <w:rPr>
                <w:b/>
                <w:color w:val="1E7A3A"/>
                <w:sz w:val="18"/>
              </w:rPr>
              <w:t>OK</w:t>
            </w:r>
          </w:p>
        </w:tc>
        <w:tc>
          <w:tcPr>
            <w:tcW w:type="dxa" w:w="7920"/>
          </w:tcPr>
          <w:p>
            <w:r>
              <w:rPr>
                <w:sz w:val="18"/>
              </w:rPr>
              <w:t>Counterparty Name Match: Provider name 'Meridian Textiles Holdings B.V.' matches agreement (similarity: 100%).</w:t>
            </w:r>
          </w:p>
        </w:tc>
      </w:tr>
      <w:tr>
        <w:tc>
          <w:tcPr>
            <w:tcW w:type="dxa" w:w="1296"/>
          </w:tcPr>
          <w:p>
            <w:r>
              <w:rPr>
                <w:b/>
                <w:color w:val="A3241F"/>
                <w:sz w:val="18"/>
              </w:rPr>
              <w:t>CRITICAL</w:t>
            </w:r>
          </w:p>
        </w:tc>
        <w:tc>
          <w:tcPr>
            <w:tcW w:type="dxa" w:w="7920"/>
          </w:tcPr>
          <w:p>
            <w:r>
              <w:rPr>
                <w:sz w:val="18"/>
              </w:rPr>
              <w:t>Currency Mismatch: Invoice is denominated in USD, but agreement requires INR.</w:t>
            </w:r>
          </w:p>
        </w:tc>
      </w:tr>
      <w:tr>
        <w:tc>
          <w:tcPr>
            <w:tcW w:type="dxa" w:w="1296"/>
          </w:tcPr>
          <w:p>
            <w:r>
              <w:rPr>
                <w:b/>
                <w:color w:val="1E7A3A"/>
                <w:sz w:val="18"/>
              </w:rPr>
              <w:t>OK</w:t>
            </w:r>
          </w:p>
        </w:tc>
        <w:tc>
          <w:tcPr>
            <w:tcW w:type="dxa" w:w="7920"/>
          </w:tcPr>
          <w:p>
            <w:r>
              <w:rPr>
                <w:sz w:val="18"/>
              </w:rPr>
              <w:t>Period Within Term: Invoice period falls within effective term.</w:t>
            </w:r>
          </w:p>
        </w:tc>
      </w:tr>
      <w:tr>
        <w:tc>
          <w:tcPr>
            <w:tcW w:type="dxa" w:w="1296"/>
          </w:tcPr>
          <w:p>
            <w:r>
              <w:rPr>
                <w:b/>
                <w:color w:val="A8710D"/>
                <w:sz w:val="18"/>
              </w:rPr>
              <w:t>FLAG</w:t>
            </w:r>
          </w:p>
        </w:tc>
        <w:tc>
          <w:tcPr>
            <w:tcW w:type="dxa" w:w="7920"/>
          </w:tcPr>
          <w:p>
            <w:r>
              <w:rPr>
                <w:sz w:val="18"/>
              </w:rPr>
              <w:t>Referenced Revenue Mismatch: Invoice references revenue of 90,000,000, but Operating Revenue is 93,500,000 per schedule.</w:t>
            </w:r>
          </w:p>
        </w:tc>
      </w:tr>
      <w:tr>
        <w:tc>
          <w:tcPr>
            <w:tcW w:type="dxa" w:w="1296"/>
          </w:tcPr>
          <w:p>
            <w:r>
              <w:rPr>
                <w:b/>
                <w:color w:val="A3241F"/>
                <w:sz w:val="18"/>
              </w:rPr>
              <w:t>CRITICAL</w:t>
            </w:r>
          </w:p>
        </w:tc>
        <w:tc>
          <w:tcPr>
            <w:tcW w:type="dxa" w:w="7920"/>
          </w:tcPr>
          <w:p>
            <w:r>
              <w:rPr>
                <w:sz w:val="18"/>
              </w:rPr>
              <w:t>Incorrect Fee Percentage Applied: Invoiced amount (INR 4,500,000) reflects an effective rate of 4.81% on Operating Revenue (INR 93,500,000), instead of agreed rate of 5.0%. Difference: INR -175,000 (underbilled).</w:t>
            </w:r>
          </w:p>
        </w:tc>
      </w:tr>
    </w:tbl>
    <w:p/>
    <w:p>
      <w:pPr>
        <w:pStyle w:val="Heading1"/>
      </w:pPr>
      <w:r>
        <w:t>6. Recommended Next Steps</w:t>
      </w:r>
    </w:p>
    <w:p>
      <w:pPr>
        <w:pStyle w:val="ListBullet"/>
      </w:pPr>
      <w:r>
        <w:t>Contact the counterparty to request reissuance of the August 2025 invoice in INR, as required by the agreement.</w:t>
      </w:r>
    </w:p>
    <w:p>
      <w:pPr>
        <w:pStyle w:val="ListBullet"/>
      </w:pPr>
      <w:r>
        <w:t>Recompute the management fee at the agreed 5.0% rate on the full Operating Revenue of INR 93,500,000 and reconcile the INR 175,000 shortfall.</w:t>
      </w:r>
    </w:p>
    <w:p>
      <w:pPr>
        <w:pStyle w:val="ListBullet"/>
      </w:pPr>
      <w:r>
        <w:t>Investigate the source of the revenue figure discrepancy (INR 90,000,000 vs INR 93,500,000) to determine whether the invoice was based on incorrect or outdated data.</w:t>
      </w:r>
    </w:p>
    <w:p>
      <w:pPr>
        <w:pStyle w:val="ListBullet"/>
      </w:pPr>
      <w:r>
        <w:t>Verify whether other invoices in the batch or prior batches exhibit similar currency or rate deviations.</w:t>
      </w:r>
    </w:p>
    <w:p>
      <w:pPr>
        <w:pStyle w:val="ListBullet"/>
      </w:pPr>
      <w:r>
        <w:t>Update the reconciliation tracker and flag the August 2025 invoice for re-review once a corrected version is received.</w:t>
      </w:r>
    </w:p>
    <w:p/>
    <w:p>
      <w:r>
        <w:rPr>
          <w:i/>
          <w:color w:val="666666"/>
          <w:sz w:val="17"/>
        </w:rPr>
        <w:t>Disclaimer: This memo is generated by an AI-assisted document reconciliation tool for internal review purposes. Fields extracted via OCR from scanned or image documents carry inherent uncertainty and are flagged accordingly — verify these manually before relying on them. This tool does not substitute professional judgment or a full audit of underlying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