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DCF Valuation Report - ICE</w:t>
      </w:r>
    </w:p>
    <w:p>
      <w:r>
        <w:t>Valuation Date: 02-09-2026 | Company Type: Listed</w:t>
      </w:r>
    </w:p>
    <w:p>
      <w:pPr>
        <w:pStyle w:val="Heading1"/>
      </w:pPr>
      <w:r>
        <w:t>Executive Summary</w:t>
      </w:r>
    </w:p>
    <w:p>
      <w:r>
        <w:t>The FCFF DCF produces an enterprise value of 2,697.53, equity value of 2,687.28, and intrinsic value per share/unit of 26.87.</w:t>
      </w:r>
    </w:p>
    <w:p>
      <w:pPr>
        <w:pStyle w:val="Heading1"/>
      </w:pPr>
      <w:r>
        <w:t>Methodology</w:t>
      </w:r>
    </w:p>
    <w:p>
      <w:r>
        <w:t>FCFF = EBIT × (1 − Tax Rate) + D&amp;A − Capex − ΔNWC. FCFF is discounted using WACC. Terminal value uses the Gordon Growth Model.</w:t>
      </w:r>
    </w:p>
    <w:p>
      <w:pPr>
        <w:pStyle w:val="Heading1"/>
      </w:pPr>
      <w:r>
        <w:t>Cost of Capital</w:t>
      </w:r>
    </w:p>
    <w:p>
      <w:r>
        <w:t>Cost of Equity: 13.50% | WACC: 12.83% | Terminal Growth: 5.00%.</w:t>
      </w:r>
    </w:p>
    <w:p>
      <w:pPr>
        <w:pStyle w:val="Heading1"/>
      </w:pPr>
      <w:r>
        <w:t>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FY1E</w:t>
            </w:r>
          </w:p>
        </w:tc>
        <w:tc>
          <w:tcPr>
            <w:tcW w:type="dxa" w:w="1440"/>
          </w:tcPr>
          <w:p>
            <w:r>
              <w:t>FY2E</w:t>
            </w:r>
          </w:p>
        </w:tc>
        <w:tc>
          <w:tcPr>
            <w:tcW w:type="dxa" w:w="1440"/>
          </w:tcPr>
          <w:p>
            <w:r>
              <w:t>FY3E</w:t>
            </w:r>
          </w:p>
        </w:tc>
        <w:tc>
          <w:tcPr>
            <w:tcW w:type="dxa" w:w="1440"/>
          </w:tcPr>
          <w:p>
            <w:r>
              <w:t>FY4E</w:t>
            </w:r>
          </w:p>
        </w:tc>
        <w:tc>
          <w:tcPr>
            <w:tcW w:type="dxa" w:w="1440"/>
          </w:tcPr>
          <w:p>
            <w:r>
              <w:t>FY5E</w:t>
            </w:r>
          </w:p>
        </w:tc>
      </w:tr>
      <w:tr>
        <w:tc>
          <w:tcPr>
            <w:tcW w:type="dxa" w:w="1440"/>
          </w:tcPr>
          <w:p>
            <w:r>
              <w:t>Revenue</w:t>
            </w:r>
          </w:p>
        </w:tc>
        <w:tc>
          <w:tcPr>
            <w:tcW w:type="dxa" w:w="1440"/>
          </w:tcPr>
          <w:p>
            <w:r>
              <w:t>1,738.00</w:t>
            </w:r>
          </w:p>
        </w:tc>
        <w:tc>
          <w:tcPr>
            <w:tcW w:type="dxa" w:w="1440"/>
          </w:tcPr>
          <w:p>
            <w:r>
              <w:t>1,894.42</w:t>
            </w:r>
          </w:p>
        </w:tc>
        <w:tc>
          <w:tcPr>
            <w:tcW w:type="dxa" w:w="1440"/>
          </w:tcPr>
          <w:p>
            <w:r>
              <w:t>2,055.45</w:t>
            </w:r>
          </w:p>
        </w:tc>
        <w:tc>
          <w:tcPr>
            <w:tcW w:type="dxa" w:w="1440"/>
          </w:tcPr>
          <w:p>
            <w:r>
              <w:t>2,219.88</w:t>
            </w:r>
          </w:p>
        </w:tc>
        <w:tc>
          <w:tcPr>
            <w:tcW w:type="dxa" w:w="1440"/>
          </w:tcPr>
          <w:p>
            <w:r>
              <w:t>2,386.37</w:t>
            </w:r>
          </w:p>
        </w:tc>
      </w:tr>
      <w:tr>
        <w:tc>
          <w:tcPr>
            <w:tcW w:type="dxa" w:w="1440"/>
          </w:tcPr>
          <w:p>
            <w:r>
              <w:t>EBITDA</w:t>
            </w:r>
          </w:p>
        </w:tc>
        <w:tc>
          <w:tcPr>
            <w:tcW w:type="dxa" w:w="1440"/>
          </w:tcPr>
          <w:p>
            <w:r>
              <w:t>312.84</w:t>
            </w:r>
          </w:p>
        </w:tc>
        <w:tc>
          <w:tcPr>
            <w:tcW w:type="dxa" w:w="1440"/>
          </w:tcPr>
          <w:p>
            <w:r>
              <w:t>350.47</w:t>
            </w:r>
          </w:p>
        </w:tc>
        <w:tc>
          <w:tcPr>
            <w:tcW w:type="dxa" w:w="1440"/>
          </w:tcPr>
          <w:p>
            <w:r>
              <w:t>390.53</w:t>
            </w:r>
          </w:p>
        </w:tc>
        <w:tc>
          <w:tcPr>
            <w:tcW w:type="dxa" w:w="1440"/>
          </w:tcPr>
          <w:p>
            <w:r>
              <w:t>432.88</w:t>
            </w:r>
          </w:p>
        </w:tc>
        <w:tc>
          <w:tcPr>
            <w:tcW w:type="dxa" w:w="1440"/>
          </w:tcPr>
          <w:p>
            <w:r>
              <w:t>477.27</w:t>
            </w:r>
          </w:p>
        </w:tc>
      </w:tr>
      <w:tr>
        <w:tc>
          <w:tcPr>
            <w:tcW w:type="dxa" w:w="1440"/>
          </w:tcPr>
          <w:p>
            <w:r>
              <w:t>FCFF</w:t>
            </w:r>
          </w:p>
        </w:tc>
        <w:tc>
          <w:tcPr>
            <w:tcW w:type="dxa" w:w="1440"/>
          </w:tcPr>
          <w:p>
            <w:r>
              <w:t>165.51</w:t>
            </w:r>
          </w:p>
        </w:tc>
        <w:tc>
          <w:tcPr>
            <w:tcW w:type="dxa" w:w="1440"/>
          </w:tcPr>
          <w:p>
            <w:r>
              <w:t>188.77</w:t>
            </w:r>
          </w:p>
        </w:tc>
        <w:tc>
          <w:tcPr>
            <w:tcW w:type="dxa" w:w="1440"/>
          </w:tcPr>
          <w:p>
            <w:r>
              <w:t>213.22</w:t>
            </w:r>
          </w:p>
        </w:tc>
        <w:tc>
          <w:tcPr>
            <w:tcW w:type="dxa" w:w="1440"/>
          </w:tcPr>
          <w:p>
            <w:r>
              <w:t>239.36</w:t>
            </w:r>
          </w:p>
        </w:tc>
        <w:tc>
          <w:tcPr>
            <w:tcW w:type="dxa" w:w="1440"/>
          </w:tcPr>
          <w:p>
            <w:r>
              <w:t>267.08</w:t>
            </w:r>
          </w:p>
        </w:tc>
      </w:tr>
      <w:tr>
        <w:tc>
          <w:tcPr>
            <w:tcW w:type="dxa" w:w="1440"/>
          </w:tcPr>
          <w:p>
            <w:r>
              <w:t>PV FCFF</w:t>
            </w:r>
          </w:p>
        </w:tc>
        <w:tc>
          <w:tcPr>
            <w:tcW w:type="dxa" w:w="1440"/>
          </w:tcPr>
          <w:p>
            <w:r>
              <w:t>146.69</w:t>
            </w:r>
          </w:p>
        </w:tc>
        <w:tc>
          <w:tcPr>
            <w:tcW w:type="dxa" w:w="1440"/>
          </w:tcPr>
          <w:p>
            <w:r>
              <w:t>148.29</w:t>
            </w:r>
          </w:p>
        </w:tc>
        <w:tc>
          <w:tcPr>
            <w:tcW w:type="dxa" w:w="1440"/>
          </w:tcPr>
          <w:p>
            <w:r>
              <w:t>148.46</w:t>
            </w:r>
          </w:p>
        </w:tc>
        <w:tc>
          <w:tcPr>
            <w:tcW w:type="dxa" w:w="1440"/>
          </w:tcPr>
          <w:p>
            <w:r>
              <w:t>147.71</w:t>
            </w:r>
          </w:p>
        </w:tc>
        <w:tc>
          <w:tcPr>
            <w:tcW w:type="dxa" w:w="1440"/>
          </w:tcPr>
          <w:p>
            <w:r>
              <w:t>146.09</w:t>
            </w:r>
          </w:p>
        </w:tc>
      </w:tr>
    </w:tbl>
    <w:p>
      <w:pPr>
        <w:pStyle w:val="Heading1"/>
      </w:pPr>
      <w:r>
        <w:t>Scenario Analysis</w:t>
      </w:r>
    </w:p>
    <w:p>
      <w:r>
        <w:t>Bear: 19.06</w:t>
      </w:r>
    </w:p>
    <w:p>
      <w:r>
        <w:t>Base: 26.87</w:t>
      </w:r>
    </w:p>
    <w:p>
      <w:r>
        <w:t>Bull: 39.04</w:t>
      </w:r>
    </w:p>
    <w:p>
      <w:pPr>
        <w:pStyle w:val="Heading1"/>
      </w:pPr>
      <w:r>
        <w:t>Important Limitations</w:t>
      </w:r>
    </w:p>
    <w:p>
      <w:r>
        <w:t>This software is a decision-support and modelling utility. Outputs depend on user-entered assumptions and data quality. For statutory, regulatory, transaction or litigation valuations, the user should apply the relevant valuation standards, professional judgment, documentation, and any legally prescribed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