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401" w14:textId="77777777" w:rsidR="0035750B" w:rsidRPr="00126D41" w:rsidRDefault="0035750B" w:rsidP="0035750B">
      <w:pPr>
        <w:rPr>
          <w:rFonts w:ascii="Verdana" w:hAnsi="Verdana"/>
          <w:b/>
          <w:bCs/>
          <w:sz w:val="20"/>
          <w:szCs w:val="20"/>
          <w:u w:val="single"/>
        </w:rPr>
      </w:pPr>
      <w:r w:rsidRPr="00126D41">
        <w:rPr>
          <w:rFonts w:ascii="Verdana" w:hAnsi="Verdana"/>
          <w:b/>
          <w:bCs/>
          <w:sz w:val="20"/>
          <w:szCs w:val="20"/>
          <w:u w:val="single"/>
        </w:rPr>
        <w:t>Problem Statement</w:t>
      </w:r>
    </w:p>
    <w:p w14:paraId="1827C98F" w14:textId="514B3A63" w:rsidR="0035750B" w:rsidRPr="0035750B" w:rsidRDefault="0035750B" w:rsidP="0035750B">
      <w:pPr>
        <w:rPr>
          <w:rFonts w:ascii="Verdana" w:hAnsi="Verdana"/>
          <w:sz w:val="20"/>
          <w:szCs w:val="20"/>
        </w:rPr>
      </w:pPr>
      <w:r w:rsidRPr="0035750B">
        <w:rPr>
          <w:rFonts w:ascii="Verdana" w:hAnsi="Verdana"/>
          <w:sz w:val="20"/>
          <w:szCs w:val="20"/>
        </w:rPr>
        <w:t>Form No. 3CD, prescribed under Rule 6</w:t>
      </w:r>
      <w:proofErr w:type="gramStart"/>
      <w:r w:rsidRPr="0035750B">
        <w:rPr>
          <w:rFonts w:ascii="Verdana" w:hAnsi="Verdana"/>
          <w:sz w:val="20"/>
          <w:szCs w:val="20"/>
        </w:rPr>
        <w:t>G(</w:t>
      </w:r>
      <w:proofErr w:type="gramEnd"/>
      <w:r w:rsidRPr="0035750B">
        <w:rPr>
          <w:rFonts w:ascii="Verdana" w:hAnsi="Verdana"/>
          <w:sz w:val="20"/>
          <w:szCs w:val="20"/>
        </w:rPr>
        <w:t>2) of the Income-tax Rules, 1962, requires a tax auditor to report over 44 clauses of granular particulars — depreciation, TDS</w:t>
      </w:r>
      <w:r>
        <w:rPr>
          <w:rFonts w:ascii="Verdana" w:hAnsi="Verdana"/>
          <w:sz w:val="20"/>
          <w:szCs w:val="20"/>
        </w:rPr>
        <w:t xml:space="preserve"> on provision</w:t>
      </w:r>
      <w:r w:rsidRPr="0035750B">
        <w:rPr>
          <w:rFonts w:ascii="Verdana" w:hAnsi="Verdana"/>
          <w:sz w:val="20"/>
          <w:szCs w:val="20"/>
        </w:rPr>
        <w:t xml:space="preserve">-related disallowances under section 40(a), MSME payment delays, section 43B </w:t>
      </w:r>
      <w:r>
        <w:rPr>
          <w:rFonts w:ascii="Verdana" w:hAnsi="Verdana"/>
          <w:sz w:val="20"/>
          <w:szCs w:val="20"/>
        </w:rPr>
        <w:t>reporting</w:t>
      </w:r>
      <w:r w:rsidRPr="0035750B">
        <w:rPr>
          <w:rFonts w:ascii="Verdana" w:hAnsi="Verdana"/>
          <w:sz w:val="20"/>
          <w:szCs w:val="20"/>
        </w:rPr>
        <w:t>, gratuity provisions, related-party payments under section 40A(2)(b), and more — each governed by its own statutory computation logic. Preparing an audit-ready summary from this form, and translating it into a draft computation of total income, is today a manual, repetitive, and error-prone exercise: the auditor must trace each figure back to its exact clause, apply the correct statutory disallowance percentage, and re-key everything into a separate computation workbook, often taking upward of two hours per audit with no structured, reviewable output. Despite the form being available as a structured JSON export from the income-tax e-filing utility, no existing tool converts this data directly into a clause-referenced, audit-ready review pack — while any such automation must still operate strictly as a decision-support aid, preserving the auditor's professional judgment and independent verification obligations under the Standards on Auditing and the ICAI Guidance Note on Tax Audit. This project addresses that gap: an AI-assisted tool that parses the Form 3CD e-filing JSON and produces a clause-referenced financial summary, a full 44-clause dashboard, and a draft tax computation — in Excel, HTML, PDF and Word — complete with a built-in Tax Head sign-off workflow, reducing a ~2-hour manual review to roughly 5</w:t>
      </w:r>
      <w:r>
        <w:rPr>
          <w:rFonts w:ascii="Verdana" w:hAnsi="Verdana"/>
          <w:sz w:val="20"/>
          <w:szCs w:val="20"/>
        </w:rPr>
        <w:t xml:space="preserve"> to 10</w:t>
      </w:r>
      <w:r w:rsidRPr="0035750B">
        <w:rPr>
          <w:rFonts w:ascii="Verdana" w:hAnsi="Verdana"/>
          <w:sz w:val="20"/>
          <w:szCs w:val="20"/>
        </w:rPr>
        <w:t xml:space="preserve"> minutes while remaining explicit that it supplements, never replaces, the auditor's own verification.</w:t>
      </w:r>
    </w:p>
    <w:p w14:paraId="2D084882" w14:textId="77777777" w:rsidR="00126D41" w:rsidRDefault="00126D41">
      <w:r>
        <w:br w:type="page"/>
      </w:r>
    </w:p>
    <w:p w14:paraId="496C3BB4" w14:textId="31D266D0" w:rsidR="0035750B" w:rsidRPr="00126D41" w:rsidRDefault="00126D41" w:rsidP="0035750B">
      <w:pPr>
        <w:rPr>
          <w:rFonts w:ascii="Verdana" w:hAnsi="Verdana"/>
          <w:b/>
          <w:bCs/>
          <w:sz w:val="20"/>
          <w:szCs w:val="20"/>
          <w:u w:val="single"/>
        </w:rPr>
      </w:pPr>
      <w:r w:rsidRPr="00126D41">
        <w:rPr>
          <w:rFonts w:ascii="Verdana" w:hAnsi="Verdana"/>
          <w:b/>
          <w:bCs/>
          <w:sz w:val="20"/>
          <w:szCs w:val="20"/>
          <w:u w:val="single"/>
        </w:rPr>
        <w:lastRenderedPageBreak/>
        <w:t>Initial prompt</w:t>
      </w:r>
    </w:p>
    <w:p w14:paraId="4CE3584E" w14:textId="53F52CCD" w:rsidR="00FD3AB8" w:rsidRDefault="00126D41" w:rsidP="0035750B">
      <w:pPr>
        <w:rPr>
          <w:rFonts w:ascii="Verdana" w:hAnsi="Verdana"/>
          <w:sz w:val="20"/>
          <w:szCs w:val="20"/>
        </w:rPr>
      </w:pPr>
      <w:r w:rsidRPr="00126D41">
        <w:rPr>
          <w:rFonts w:ascii="Verdana" w:hAnsi="Verdana"/>
          <w:sz w:val="20"/>
          <w:szCs w:val="20"/>
        </w:rPr>
        <w:t xml:space="preserve">Act as a python developer and help me create a python program which can read and </w:t>
      </w:r>
      <w:proofErr w:type="spellStart"/>
      <w:r w:rsidRPr="00126D41">
        <w:rPr>
          <w:rFonts w:ascii="Verdana" w:hAnsi="Verdana"/>
          <w:sz w:val="20"/>
          <w:szCs w:val="20"/>
        </w:rPr>
        <w:t>analyze</w:t>
      </w:r>
      <w:proofErr w:type="spellEnd"/>
      <w:r w:rsidRPr="00126D41">
        <w:rPr>
          <w:rFonts w:ascii="Verdana" w:hAnsi="Verdana"/>
          <w:sz w:val="20"/>
          <w:szCs w:val="20"/>
        </w:rPr>
        <w:t xml:space="preserve"> the enclosed JSON and pdf file containing Tax audit report of a Company for FY 2024-25 with following features:</w:t>
      </w:r>
      <w:r w:rsidRPr="00126D41">
        <w:rPr>
          <w:rFonts w:ascii="Verdana" w:hAnsi="Verdana"/>
          <w:sz w:val="20"/>
          <w:szCs w:val="20"/>
        </w:rPr>
        <w:br/>
      </w:r>
      <w:r w:rsidRPr="00126D41">
        <w:rPr>
          <w:rFonts w:ascii="Verdana" w:hAnsi="Verdana"/>
          <w:sz w:val="20"/>
          <w:szCs w:val="20"/>
        </w:rPr>
        <w:br/>
        <w:t>1) Summarize all the financial information in a table with cross reference to the clause number and sub clause numbers</w:t>
      </w:r>
      <w:r w:rsidRPr="00126D41">
        <w:rPr>
          <w:rFonts w:ascii="Verdana" w:hAnsi="Verdana"/>
          <w:sz w:val="20"/>
          <w:szCs w:val="20"/>
        </w:rPr>
        <w:br/>
        <w:t xml:space="preserve">2) Financial information means - </w:t>
      </w:r>
      <w:r w:rsidRPr="00126D41">
        <w:rPr>
          <w:rFonts w:ascii="Verdana" w:hAnsi="Verdana"/>
          <w:sz w:val="20"/>
          <w:szCs w:val="20"/>
        </w:rPr>
        <w:br/>
        <w:t xml:space="preserve">a) Total turnover amount and Net profit amount of previous year in clause 40, </w:t>
      </w:r>
      <w:r w:rsidRPr="00126D41">
        <w:rPr>
          <w:rFonts w:ascii="Verdana" w:hAnsi="Verdana"/>
          <w:sz w:val="20"/>
          <w:szCs w:val="20"/>
        </w:rPr>
        <w:br/>
        <w:t xml:space="preserve">b) Depreciation allowable (D) as per clause 18, </w:t>
      </w:r>
      <w:r w:rsidRPr="00126D41">
        <w:rPr>
          <w:rFonts w:ascii="Verdana" w:hAnsi="Verdana"/>
          <w:sz w:val="20"/>
          <w:szCs w:val="20"/>
        </w:rPr>
        <w:br/>
        <w:t>c) Amounts inadmissible as payment referred to in 40(a) sub-clause (</w:t>
      </w:r>
      <w:proofErr w:type="spellStart"/>
      <w:r w:rsidRPr="00126D41">
        <w:rPr>
          <w:rFonts w:ascii="Verdana" w:hAnsi="Verdana"/>
          <w:sz w:val="20"/>
          <w:szCs w:val="20"/>
        </w:rPr>
        <w:t>ia</w:t>
      </w:r>
      <w:proofErr w:type="spellEnd"/>
      <w:r w:rsidRPr="00126D41">
        <w:rPr>
          <w:rFonts w:ascii="Verdana" w:hAnsi="Verdana"/>
          <w:sz w:val="20"/>
          <w:szCs w:val="20"/>
        </w:rPr>
        <w:t xml:space="preserve">)+ do an additional computation i.e., Amount Multiplied by 30%, </w:t>
      </w:r>
      <w:r w:rsidRPr="00126D41">
        <w:rPr>
          <w:rFonts w:ascii="Verdana" w:hAnsi="Verdana"/>
          <w:sz w:val="20"/>
          <w:szCs w:val="20"/>
        </w:rPr>
        <w:br/>
        <w:t>d) Amounts inadmissible as payment referred to in 40(a) sub-clause (</w:t>
      </w:r>
      <w:proofErr w:type="spellStart"/>
      <w:r w:rsidRPr="00126D41">
        <w:rPr>
          <w:rFonts w:ascii="Verdana" w:hAnsi="Verdana"/>
          <w:sz w:val="20"/>
          <w:szCs w:val="20"/>
        </w:rPr>
        <w:t>i</w:t>
      </w:r>
      <w:proofErr w:type="spellEnd"/>
      <w:r w:rsidRPr="00126D41">
        <w:rPr>
          <w:rFonts w:ascii="Verdana" w:hAnsi="Verdana"/>
          <w:sz w:val="20"/>
          <w:szCs w:val="20"/>
        </w:rPr>
        <w:t xml:space="preserve">)+ do an additional computation i.e., Amount Multiplied by 100%, </w:t>
      </w:r>
      <w:r w:rsidRPr="00126D41">
        <w:rPr>
          <w:rFonts w:ascii="Verdana" w:hAnsi="Verdana"/>
          <w:sz w:val="20"/>
          <w:szCs w:val="20"/>
        </w:rPr>
        <w:br/>
        <w:t>e) Disallowance under section 43b(f) - for leave encashment not paid on or before the aforesaid date,</w:t>
      </w:r>
      <w:r w:rsidRPr="00126D41">
        <w:rPr>
          <w:rFonts w:ascii="Verdana" w:hAnsi="Verdana"/>
          <w:sz w:val="20"/>
          <w:szCs w:val="20"/>
        </w:rPr>
        <w:br/>
        <w:t>f) Allowance under section 43b(f) - pre-existed on the first day of the previous year but was not allowable in the assessment of any preceding previous year and was during the year</w:t>
      </w:r>
      <w:r w:rsidRPr="00126D41">
        <w:rPr>
          <w:rFonts w:ascii="Verdana" w:hAnsi="Verdana"/>
          <w:sz w:val="20"/>
          <w:szCs w:val="20"/>
        </w:rPr>
        <w:br/>
        <w:t>g) MSME interest in clause 22(</w:t>
      </w:r>
      <w:proofErr w:type="spellStart"/>
      <w:r w:rsidRPr="00126D41">
        <w:rPr>
          <w:rFonts w:ascii="Verdana" w:hAnsi="Verdana"/>
          <w:sz w:val="20"/>
          <w:szCs w:val="20"/>
        </w:rPr>
        <w:t>i</w:t>
      </w:r>
      <w:proofErr w:type="spellEnd"/>
      <w:r w:rsidRPr="00126D41">
        <w:rPr>
          <w:rFonts w:ascii="Verdana" w:hAnsi="Verdana"/>
          <w:sz w:val="20"/>
          <w:szCs w:val="20"/>
        </w:rPr>
        <w:t xml:space="preserve">), </w:t>
      </w:r>
      <w:r w:rsidRPr="00126D41">
        <w:rPr>
          <w:rFonts w:ascii="Verdana" w:hAnsi="Verdana"/>
          <w:sz w:val="20"/>
          <w:szCs w:val="20"/>
        </w:rPr>
        <w:br/>
        <w:t xml:space="preserve">h) MSME delay payment in clause 22(iii), </w:t>
      </w:r>
      <w:r w:rsidRPr="00126D41">
        <w:rPr>
          <w:rFonts w:ascii="Verdana" w:hAnsi="Verdana"/>
          <w:sz w:val="20"/>
          <w:szCs w:val="20"/>
        </w:rPr>
        <w:br/>
      </w:r>
      <w:proofErr w:type="spellStart"/>
      <w:r w:rsidRPr="00126D41">
        <w:rPr>
          <w:rFonts w:ascii="Verdana" w:hAnsi="Verdana"/>
          <w:sz w:val="20"/>
          <w:szCs w:val="20"/>
        </w:rPr>
        <w:t>i</w:t>
      </w:r>
      <w:proofErr w:type="spellEnd"/>
      <w:r w:rsidRPr="00126D41">
        <w:rPr>
          <w:rFonts w:ascii="Verdana" w:hAnsi="Verdana"/>
          <w:sz w:val="20"/>
          <w:szCs w:val="20"/>
        </w:rPr>
        <w:t xml:space="preserve">) Provision for gratuity not allowable under section 40A(7), </w:t>
      </w:r>
      <w:r w:rsidRPr="00126D41">
        <w:rPr>
          <w:rFonts w:ascii="Verdana" w:hAnsi="Verdana"/>
          <w:sz w:val="20"/>
          <w:szCs w:val="20"/>
        </w:rPr>
        <w:br/>
        <w:t>j) Interest under section 201(1A) or section 206C(7) in clause 34(c)</w:t>
      </w:r>
      <w:r w:rsidRPr="00126D41">
        <w:rPr>
          <w:rFonts w:ascii="Verdana" w:hAnsi="Verdana"/>
          <w:sz w:val="20"/>
          <w:szCs w:val="20"/>
        </w:rPr>
        <w:br/>
        <w:t>k) Disallowance/deemed income under section 40A(3) in clause 21(d)</w:t>
      </w:r>
      <w:r w:rsidRPr="00126D41">
        <w:rPr>
          <w:rFonts w:ascii="Verdana" w:hAnsi="Verdana"/>
          <w:sz w:val="20"/>
          <w:szCs w:val="20"/>
        </w:rPr>
        <w:br/>
        <w:t>l) Amounts debited to the profit and loss account, Being in the nature of capital, personal,</w:t>
      </w:r>
      <w:r w:rsidRPr="00126D41">
        <w:rPr>
          <w:rFonts w:ascii="Verdana" w:hAnsi="Verdana"/>
          <w:sz w:val="20"/>
          <w:szCs w:val="20"/>
        </w:rPr>
        <w:br/>
        <w:t>advertisement expenditure etc in clause 21(a)</w:t>
      </w:r>
      <w:r w:rsidRPr="00126D41">
        <w:rPr>
          <w:rFonts w:ascii="Verdana" w:hAnsi="Verdana"/>
          <w:sz w:val="20"/>
          <w:szCs w:val="20"/>
        </w:rPr>
        <w:br/>
        <w:t>m) Amount of deduction inadmissible in terms of section 14A in clause 21(h)</w:t>
      </w:r>
      <w:r w:rsidRPr="00126D41">
        <w:rPr>
          <w:rFonts w:ascii="Verdana" w:hAnsi="Verdana"/>
          <w:sz w:val="20"/>
          <w:szCs w:val="20"/>
        </w:rPr>
        <w:br/>
        <w:t>n) Amount inadmissible under the proviso to section 36(1)(iii) in clause 21(</w:t>
      </w:r>
      <w:proofErr w:type="spellStart"/>
      <w:r w:rsidRPr="00126D41">
        <w:rPr>
          <w:rFonts w:ascii="Verdana" w:hAnsi="Verdana"/>
          <w:sz w:val="20"/>
          <w:szCs w:val="20"/>
        </w:rPr>
        <w:t>i</w:t>
      </w:r>
      <w:proofErr w:type="spellEnd"/>
      <w:r w:rsidRPr="00126D41">
        <w:rPr>
          <w:rFonts w:ascii="Verdana" w:hAnsi="Verdana"/>
          <w:sz w:val="20"/>
          <w:szCs w:val="20"/>
        </w:rPr>
        <w:t>)</w:t>
      </w:r>
      <w:r w:rsidRPr="00126D41">
        <w:rPr>
          <w:rFonts w:ascii="Verdana" w:hAnsi="Verdana"/>
          <w:sz w:val="20"/>
          <w:szCs w:val="20"/>
        </w:rPr>
        <w:br/>
        <w:t>3) Create a dashboard with clause wise information for all the 44 clauses in a tabular manner</w:t>
      </w:r>
      <w:r w:rsidRPr="00126D41">
        <w:rPr>
          <w:rFonts w:ascii="Verdana" w:hAnsi="Verdana"/>
          <w:sz w:val="20"/>
          <w:szCs w:val="20"/>
        </w:rPr>
        <w:br/>
        <w:t>4) Using the financial information made available in enclosed report - the tool should be able provide insights for creation of Income tax computation in accordance with Income tax Act, 1961</w:t>
      </w:r>
      <w:r w:rsidRPr="00126D41">
        <w:rPr>
          <w:rFonts w:ascii="Verdana" w:hAnsi="Verdana"/>
          <w:sz w:val="20"/>
          <w:szCs w:val="20"/>
        </w:rPr>
        <w:br/>
      </w:r>
      <w:r w:rsidRPr="00126D41">
        <w:rPr>
          <w:rFonts w:ascii="Verdana" w:hAnsi="Verdana"/>
          <w:sz w:val="20"/>
          <w:szCs w:val="20"/>
        </w:rPr>
        <w:br/>
        <w:t xml:space="preserve">Please note both </w:t>
      </w:r>
      <w:r w:rsidR="00222BF7">
        <w:rPr>
          <w:rFonts w:ascii="Verdana" w:hAnsi="Verdana"/>
          <w:sz w:val="20"/>
          <w:szCs w:val="20"/>
        </w:rPr>
        <w:t>J</w:t>
      </w:r>
      <w:r w:rsidRPr="00126D41">
        <w:rPr>
          <w:rFonts w:ascii="Verdana" w:hAnsi="Verdana"/>
          <w:sz w:val="20"/>
          <w:szCs w:val="20"/>
        </w:rPr>
        <w:t xml:space="preserve">son and </w:t>
      </w:r>
      <w:r w:rsidR="00222BF7">
        <w:rPr>
          <w:rFonts w:ascii="Verdana" w:hAnsi="Verdana"/>
          <w:sz w:val="20"/>
          <w:szCs w:val="20"/>
        </w:rPr>
        <w:t>PDF</w:t>
      </w:r>
      <w:r w:rsidRPr="00126D41">
        <w:rPr>
          <w:rFonts w:ascii="Verdana" w:hAnsi="Verdana"/>
          <w:sz w:val="20"/>
          <w:szCs w:val="20"/>
        </w:rPr>
        <w:t xml:space="preserve"> contains the same information</w:t>
      </w:r>
    </w:p>
    <w:p w14:paraId="7FC4A157" w14:textId="77777777" w:rsidR="00FD3AB8" w:rsidRDefault="00FD3AB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6AD55B0B" w14:textId="77777777" w:rsidR="00FD3AB8" w:rsidRPr="00FD3AB8" w:rsidRDefault="00FD3AB8" w:rsidP="00FD3AB8">
      <w:pPr>
        <w:pStyle w:val="Title"/>
        <w:rPr>
          <w:rFonts w:ascii="Verdana" w:hAnsi="Verdana"/>
          <w:b/>
          <w:bCs/>
          <w:color w:val="000000" w:themeColor="text1"/>
          <w:sz w:val="20"/>
          <w:szCs w:val="20"/>
          <w:u w:val="single"/>
        </w:rPr>
      </w:pPr>
      <w:r w:rsidRPr="00FD3AB8">
        <w:rPr>
          <w:rFonts w:ascii="Verdana" w:hAnsi="Verdana"/>
          <w:b/>
          <w:bCs/>
          <w:color w:val="000000" w:themeColor="text1"/>
          <w:sz w:val="20"/>
          <w:szCs w:val="20"/>
          <w:u w:val="single"/>
        </w:rPr>
        <w:lastRenderedPageBreak/>
        <w:t>Structured Summary of Prompts Used to Build This</w:t>
      </w:r>
    </w:p>
    <w:p w14:paraId="6490905D" w14:textId="77777777" w:rsidR="00FD3AB8" w:rsidRPr="00FD3AB8" w:rsidRDefault="00FD3AB8" w:rsidP="00FD3AB8">
      <w:pPr>
        <w:rPr>
          <w:rFonts w:ascii="Verdana" w:hAnsi="Verdana"/>
          <w:color w:val="000000" w:themeColor="text1"/>
          <w:sz w:val="20"/>
          <w:szCs w:val="20"/>
        </w:rPr>
      </w:pPr>
    </w:p>
    <w:tbl>
      <w:tblPr>
        <w:tblStyle w:val="TableGrid"/>
        <w:tblW w:w="10273" w:type="dxa"/>
        <w:tblLayout w:type="fixed"/>
        <w:tblLook w:val="04A0" w:firstRow="1" w:lastRow="0" w:firstColumn="1" w:lastColumn="0" w:noHBand="0" w:noVBand="1"/>
      </w:tblPr>
      <w:tblGrid>
        <w:gridCol w:w="1712"/>
        <w:gridCol w:w="3873"/>
        <w:gridCol w:w="4688"/>
      </w:tblGrid>
      <w:tr w:rsidR="00FD3AB8" w:rsidRPr="00FD3AB8" w14:paraId="4E8B4CBD" w14:textId="77777777" w:rsidTr="00FD3AB8">
        <w:trPr>
          <w:trHeight w:val="276"/>
        </w:trPr>
        <w:tc>
          <w:tcPr>
            <w:tcW w:w="1712" w:type="dxa"/>
            <w:shd w:val="clear" w:color="auto" w:fill="808080" w:themeFill="background1" w:themeFillShade="80"/>
          </w:tcPr>
          <w:p w14:paraId="18FF1A00" w14:textId="77777777" w:rsidR="00FD3AB8" w:rsidRPr="00FD3AB8" w:rsidRDefault="00FD3AB8" w:rsidP="00FD3AB8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Phase</w:t>
            </w:r>
          </w:p>
        </w:tc>
        <w:tc>
          <w:tcPr>
            <w:tcW w:w="3873" w:type="dxa"/>
            <w:shd w:val="clear" w:color="auto" w:fill="808080" w:themeFill="background1" w:themeFillShade="80"/>
          </w:tcPr>
          <w:p w14:paraId="0D954027" w14:textId="77777777" w:rsidR="00FD3AB8" w:rsidRPr="00FD3AB8" w:rsidRDefault="00FD3AB8" w:rsidP="00FD3AB8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Your Request (paraphrased)</w:t>
            </w:r>
          </w:p>
        </w:tc>
        <w:tc>
          <w:tcPr>
            <w:tcW w:w="4688" w:type="dxa"/>
            <w:shd w:val="clear" w:color="auto" w:fill="808080" w:themeFill="background1" w:themeFillShade="80"/>
          </w:tcPr>
          <w:p w14:paraId="31CADCF4" w14:textId="77777777" w:rsidR="00FD3AB8" w:rsidRPr="00FD3AB8" w:rsidRDefault="00FD3AB8" w:rsidP="00FD3AB8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What Was Built</w:t>
            </w:r>
          </w:p>
        </w:tc>
      </w:tr>
      <w:tr w:rsidR="00FD3AB8" w:rsidRPr="00FD3AB8" w14:paraId="07140826" w14:textId="77777777" w:rsidTr="00FD3AB8">
        <w:trPr>
          <w:trHeight w:val="1007"/>
        </w:trPr>
        <w:tc>
          <w:tcPr>
            <w:tcW w:w="1712" w:type="dxa"/>
          </w:tcPr>
          <w:p w14:paraId="510BCF2B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1. Core extraction engine</w:t>
            </w:r>
          </w:p>
        </w:tc>
        <w:tc>
          <w:tcPr>
            <w:tcW w:w="3873" w:type="dxa"/>
          </w:tcPr>
          <w:p w14:paraId="4D177CA9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Analyze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the attached Form 3CD JSON + PDF; build a Python program with 4 features — clause-referenced financial summary table, 44-clause dashboard, and income-tax computation insights</w:t>
            </w:r>
          </w:p>
        </w:tc>
        <w:tc>
          <w:tcPr>
            <w:tcW w:w="4688" w:type="dxa"/>
          </w:tcPr>
          <w:p w14:paraId="191649A5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analyze_form3cd.py — parses the e-filing JSON, cross-referenced against the actual PDF form and the firm's own tax computation workbook for accuracy</w:t>
            </w:r>
          </w:p>
        </w:tc>
      </w:tr>
      <w:tr w:rsidR="00FD3AB8" w:rsidRPr="00FD3AB8" w14:paraId="7B3A3E35" w14:textId="77777777" w:rsidTr="00FD3AB8">
        <w:trPr>
          <w:trHeight w:val="753"/>
        </w:trPr>
        <w:tc>
          <w:tcPr>
            <w:tcW w:w="1712" w:type="dxa"/>
          </w:tcPr>
          <w:p w14:paraId="26895F0A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2. Standalone packaging</w:t>
            </w:r>
          </w:p>
        </w:tc>
        <w:tc>
          <w:tcPr>
            <w:tcW w:w="3873" w:type="dxa"/>
          </w:tcPr>
          <w:p w14:paraId="7F0FD62D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"Turn this into a standalone exe file with all the dependencies so any computer (even without Python) can run this"</w:t>
            </w:r>
          </w:p>
        </w:tc>
        <w:tc>
          <w:tcPr>
            <w:tcW w:w="4688" w:type="dxa"/>
          </w:tcPr>
          <w:p w14:paraId="1D986A7F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Refactored for drag-and-drop / interactive use; packaged with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PyInstaller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into Form3CD_Analyzer.exe; resolved a Qt-bindings conflict from pandas' optional dependencies</w:t>
            </w:r>
          </w:p>
        </w:tc>
      </w:tr>
      <w:tr w:rsidR="00FD3AB8" w:rsidRPr="00FD3AB8" w14:paraId="755E559B" w14:textId="77777777" w:rsidTr="00FD3AB8">
        <w:trPr>
          <w:trHeight w:val="500"/>
        </w:trPr>
        <w:tc>
          <w:tcPr>
            <w:tcW w:w="1712" w:type="dxa"/>
          </w:tcPr>
          <w:p w14:paraId="047180AD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3. GUI</w:t>
            </w:r>
          </w:p>
        </w:tc>
        <w:tc>
          <w:tcPr>
            <w:tcW w:w="3873" w:type="dxa"/>
          </w:tcPr>
          <w:p w14:paraId="1162256C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"I need this to be a GUI based program in purple and white colour shades"</w:t>
            </w:r>
          </w:p>
        </w:tc>
        <w:tc>
          <w:tcPr>
            <w:tcW w:w="4688" w:type="dxa"/>
          </w:tcPr>
          <w:p w14:paraId="7D425907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Built a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Tkinter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GUI (analyze_form3cd_gui.py) reusing the same core logic; packaged as a windowed Form3CD_Analyzer_GUI.exe</w:t>
            </w:r>
          </w:p>
        </w:tc>
      </w:tr>
      <w:tr w:rsidR="00FD3AB8" w:rsidRPr="00FD3AB8" w14:paraId="2AE064F3" w14:textId="77777777" w:rsidTr="00FD3AB8">
        <w:trPr>
          <w:trHeight w:val="753"/>
        </w:trPr>
        <w:tc>
          <w:tcPr>
            <w:tcW w:w="1712" w:type="dxa"/>
          </w:tcPr>
          <w:p w14:paraId="3F070316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4. Real-world bug fix</w:t>
            </w:r>
          </w:p>
        </w:tc>
        <w:tc>
          <w:tcPr>
            <w:tcW w:w="3873" w:type="dxa"/>
          </w:tcPr>
          <w:p w14:paraId="0B0E2C80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Screenshot showing two other companies’ JSON files failing with "Could not find FORM3CA.F3CA"</w:t>
            </w:r>
          </w:p>
        </w:tc>
        <w:tc>
          <w:tcPr>
            <w:tcW w:w="4688" w:type="dxa"/>
          </w:tcPr>
          <w:p w14:paraId="39CDE53F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Diagnosed a second e-filing export variant (payload wrapped under a data key); made the loader handle both structures, plus a defensive Form 3CB check</w:t>
            </w:r>
          </w:p>
        </w:tc>
      </w:tr>
      <w:tr w:rsidR="00FD3AB8" w:rsidRPr="00FD3AB8" w14:paraId="58A4473F" w14:textId="77777777" w:rsidTr="00FD3AB8">
        <w:trPr>
          <w:trHeight w:val="254"/>
        </w:trPr>
        <w:tc>
          <w:tcPr>
            <w:tcW w:w="1712" w:type="dxa"/>
          </w:tcPr>
          <w:p w14:paraId="7D8D878E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5. Usage guidance</w:t>
            </w:r>
          </w:p>
        </w:tc>
        <w:tc>
          <w:tcPr>
            <w:tcW w:w="3873" w:type="dxa"/>
          </w:tcPr>
          <w:p w14:paraId="39964527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"Which of two files [exe] should I use?"</w:t>
            </w:r>
          </w:p>
        </w:tc>
        <w:tc>
          <w:tcPr>
            <w:tcW w:w="4688" w:type="dxa"/>
          </w:tcPr>
          <w:p w14:paraId="54E7B8AA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Recommended the GUI exe for daily use, console exe for automation</w:t>
            </w:r>
          </w:p>
        </w:tc>
      </w:tr>
      <w:tr w:rsidR="00FD3AB8" w:rsidRPr="00FD3AB8" w14:paraId="315CE4C5" w14:textId="77777777" w:rsidTr="00FD3AB8">
        <w:trPr>
          <w:trHeight w:val="1507"/>
        </w:trPr>
        <w:tc>
          <w:tcPr>
            <w:tcW w:w="1712" w:type="dxa"/>
          </w:tcPr>
          <w:p w14:paraId="314E0E89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6. Multi-format export + formatting</w:t>
            </w:r>
          </w:p>
        </w:tc>
        <w:tc>
          <w:tcPr>
            <w:tcW w:w="3873" w:type="dxa"/>
          </w:tcPr>
          <w:p w14:paraId="1A905EA9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Three upgrades: (1) thorough Excel formatting — borders, auto-width, styling; (2) option to export PDF and Word; (3) a Tax Head sign-off placeholder in PDF/Word</w:t>
            </w:r>
          </w:p>
        </w:tc>
        <w:tc>
          <w:tcPr>
            <w:tcW w:w="4688" w:type="dxa"/>
          </w:tcPr>
          <w:p w14:paraId="2F8C3869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Rebuilt Excel styling (purple theme, borders, auto-wrap row heights, banding,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autofilter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); added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generate_pdf_report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generate_word_report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reportlab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/ python-docx) with a maker-checker sign-off grid; added --formats selection to CLI and GUI checkboxes; fixed a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reportlab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markup-escaping bug found along the way; resolved 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PyInstaller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bundling gaps (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lxml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, Pillow)</w:t>
            </w:r>
          </w:p>
        </w:tc>
      </w:tr>
      <w:tr w:rsidR="00FD3AB8" w:rsidRPr="00FD3AB8" w14:paraId="7F2B830B" w14:textId="77777777" w:rsidTr="00FD3AB8">
        <w:trPr>
          <w:trHeight w:val="999"/>
        </w:trPr>
        <w:tc>
          <w:tcPr>
            <w:tcW w:w="1712" w:type="dxa"/>
          </w:tcPr>
          <w:p w14:paraId="53C11E20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7. Indian number formatting (two rounds)</w:t>
            </w:r>
          </w:p>
        </w:tc>
        <w:tc>
          <w:tcPr>
            <w:tcW w:w="3873" w:type="dxa"/>
          </w:tcPr>
          <w:p w14:paraId="32AD932F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Screenshots showing missing/incorrect comma grouping in the dashboard, then again specifically in the “Computed Figure” and “Indicative Tax Estimate” columns</w:t>
            </w:r>
          </w:p>
        </w:tc>
        <w:tc>
          <w:tcPr>
            <w:tcW w:w="4688" w:type="dxa"/>
          </w:tcPr>
          <w:p w14:paraId="47F43895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Added an </w:t>
            </w:r>
            <w:proofErr w:type="spellStart"/>
            <w:proofErr w:type="gram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inr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) Indian lakh/crore formatter; applied it across Excel, HTML, PDF and Word; diagnosed and fixed a real pandas quirk (</w:t>
            </w:r>
            <w:proofErr w:type="spell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to_</w:t>
            </w:r>
            <w:proofErr w:type="gramStart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html</w:t>
            </w:r>
            <w:proofErr w:type="spell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formatters=...) silently skips float cells in mixed-type columns) by pre-formatting to strings before rendering</w:t>
            </w:r>
          </w:p>
        </w:tc>
      </w:tr>
      <w:tr w:rsidR="00FD3AB8" w:rsidRPr="00FD3AB8" w14:paraId="01990396" w14:textId="77777777" w:rsidTr="00FD3AB8">
        <w:trPr>
          <w:trHeight w:val="753"/>
        </w:trPr>
        <w:tc>
          <w:tcPr>
            <w:tcW w:w="1712" w:type="dxa"/>
          </w:tcPr>
          <w:p w14:paraId="11513A74" w14:textId="53521A15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8</w:t>
            </w: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. Compliance disclaimer</w:t>
            </w:r>
          </w:p>
        </w:tc>
        <w:tc>
          <w:tcPr>
            <w:tcW w:w="3873" w:type="dxa"/>
          </w:tcPr>
          <w:p w14:paraId="743C2ECE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Implement the disclaimer suggested above — a clear decision-support/review-tool disclaimer, not a substitute for the auditor's verification under SA/ICAI Guidance Note</w:t>
            </w:r>
          </w:p>
        </w:tc>
        <w:tc>
          <w:tcPr>
            <w:tcW w:w="4688" w:type="dxa"/>
          </w:tcPr>
          <w:p w14:paraId="43DC9DA8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Added a dedicated Disclaimer sheet (first in the Excel workbook), a bordered disclaimer box in HTML/PDF/Word, and a persistent footer on every PDF/Word page</w:t>
            </w:r>
          </w:p>
        </w:tc>
      </w:tr>
      <w:tr w:rsidR="00FD3AB8" w:rsidRPr="00FD3AB8" w14:paraId="43D3AD83" w14:textId="77777777" w:rsidTr="00FD3AB8">
        <w:trPr>
          <w:trHeight w:val="753"/>
        </w:trPr>
        <w:tc>
          <w:tcPr>
            <w:tcW w:w="1712" w:type="dxa"/>
          </w:tcPr>
          <w:p w14:paraId="2EDBD712" w14:textId="0E7E3E70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9</w:t>
            </w:r>
            <w:r w:rsidRPr="00FD3AB8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. GUI polish fixes</w:t>
            </w:r>
          </w:p>
        </w:tc>
        <w:tc>
          <w:tcPr>
            <w:tcW w:w="3873" w:type="dxa"/>
          </w:tcPr>
          <w:p w14:paraId="42D69AB7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Screenshots showing the header subtitle clipped, and the output-format checkboxes rendering an “x” instead of a checkmark</w:t>
            </w:r>
          </w:p>
        </w:tc>
        <w:tc>
          <w:tcPr>
            <w:tcW w:w="4688" w:type="dxa"/>
          </w:tcPr>
          <w:p w14:paraId="3DFA3BC4" w14:textId="77777777" w:rsidR="00FD3AB8" w:rsidRPr="00FD3AB8" w:rsidRDefault="00FD3AB8" w:rsidP="00FD3AB8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D3AB8">
              <w:rPr>
                <w:rFonts w:ascii="Verdana" w:hAnsi="Verdana"/>
                <w:color w:val="000000" w:themeColor="text1"/>
                <w:sz w:val="20"/>
                <w:szCs w:val="20"/>
              </w:rPr>
              <w:t>Removed the header's fixed pixel height so it sizes to its content; replaced the theme's native checkbox with a custom purple/white checkmark widget</w:t>
            </w:r>
          </w:p>
        </w:tc>
      </w:tr>
    </w:tbl>
    <w:p w14:paraId="2AB4563B" w14:textId="77777777" w:rsidR="00FD3AB8" w:rsidRPr="00FD3AB8" w:rsidRDefault="00FD3AB8" w:rsidP="00FD3AB8">
      <w:pPr>
        <w:rPr>
          <w:rFonts w:ascii="Verdana" w:hAnsi="Verdana"/>
          <w:sz w:val="20"/>
          <w:szCs w:val="20"/>
        </w:rPr>
      </w:pPr>
    </w:p>
    <w:p w14:paraId="6B7A755C" w14:textId="77777777" w:rsidR="00126D41" w:rsidRPr="00126D41" w:rsidRDefault="00126D41" w:rsidP="0035750B">
      <w:pPr>
        <w:rPr>
          <w:rFonts w:ascii="Verdana" w:hAnsi="Verdana"/>
          <w:sz w:val="20"/>
          <w:szCs w:val="20"/>
        </w:rPr>
      </w:pPr>
    </w:p>
    <w:sectPr w:rsidR="00126D41" w:rsidRPr="00126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46"/>
    <w:rsid w:val="00126D41"/>
    <w:rsid w:val="00222BF7"/>
    <w:rsid w:val="0035750B"/>
    <w:rsid w:val="007421CE"/>
    <w:rsid w:val="00944346"/>
    <w:rsid w:val="00E049F9"/>
    <w:rsid w:val="00FD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E38B"/>
  <w15:chartTrackingRefBased/>
  <w15:docId w15:val="{B205C22C-36CE-4946-A894-37713ECE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D3AB8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N.L.</dc:creator>
  <cp:keywords/>
  <dc:description/>
  <cp:lastModifiedBy>Raghavendra N.L.</cp:lastModifiedBy>
  <cp:revision>6</cp:revision>
  <dcterms:created xsi:type="dcterms:W3CDTF">2026-09-11T15:05:00Z</dcterms:created>
  <dcterms:modified xsi:type="dcterms:W3CDTF">2026-09-11T15:29:00Z</dcterms:modified>
</cp:coreProperties>
</file>