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Continuing Airworthiness</w:t>
        <w:br/>
        <w:t>Management Services Agreement</w:t>
      </w:r>
    </w:p>
    <w:p>
      <w:pPr>
        <w:pStyle w:val="Subtitle"/>
      </w:pPr>
      <w:r>
        <w:t>FlyFree and Aero Engineering Services</w:t>
        <w:br/>
        <w:t>Gulfstream aircraft A6-FFA</w:t>
      </w:r>
    </w:p>
    <w:p>
      <w:r>
        <w:rPr>
          <w:b/>
        </w:rPr>
        <w:t>CAPSTONE DEMONSTRATION ONLY.</w:t>
      </w:r>
      <w:r>
        <w:t xml:space="preserve"> This fictional, unsigned agreement is provided for upload, reading and workflow testing in the FlyFree Contract Management System. Commercial terms and the G650 model designation are illustrative. It is not evidence of an actual contract or regulatory approval.</w:t>
      </w:r>
    </w:p>
    <w:p>
      <w:pPr>
        <w:pStyle w:val="Heading1"/>
      </w:pPr>
      <w:r>
        <w:t>1  Contract particulars</w:t>
      </w:r>
    </w:p>
    <w:tbl>
      <w:tblPr>
        <w:tblW w:type="auto" w:w="0"/>
        <w:jc w:val="center"/>
        <w:tblLayout w:type="fixed"/>
        <w:tblLook w:firstColumn="1" w:firstRow="1" w:lastColumn="0" w:lastRow="0" w:noHBand="0" w:noVBand="1" w:val="04A0"/>
      </w:tblPr>
      <w:tblGrid>
        <w:gridCol w:w="2880"/>
        <w:gridCol w:w="7056"/>
      </w:tblGrid>
      <w:tr>
        <w:trPr>
          <w:cantSplit/>
          <w:tblHeader/>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3"/>
          </w:tcPr>
          <w:p>
            <w:pPr>
              <w:spacing w:after="20" w:line="240" w:lineRule="auto"/>
            </w:pPr>
            <w:r>
              <w:rPr>
                <w:b/>
                <w:sz w:val="20"/>
              </w:rPr>
              <w:t>Field</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3"/>
          </w:tcPr>
          <w:p>
            <w:pPr>
              <w:spacing w:after="20" w:line="240" w:lineRule="auto"/>
            </w:pPr>
            <w:r>
              <w:rPr>
                <w:b/>
                <w:sz w:val="20"/>
              </w:rPr>
              <w:t>Sample contract details</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20"/>
              </w:rPr>
              <w:t>Contract reference</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20"/>
              </w:rPr>
              <w:t>FF-CAMO-2026-001</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20"/>
              </w:rPr>
              <w:t>Customer and operator</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20"/>
              </w:rPr>
              <w:t>FlyFree</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20"/>
              </w:rPr>
              <w:t>Service provider</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20"/>
              </w:rPr>
              <w:t>Aero Engineering Services</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20"/>
              </w:rPr>
              <w:t>Aircraft</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20"/>
              </w:rPr>
              <w:t>Gulfstream G650 — assumed model for this sample</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20"/>
              </w:rPr>
              <w:t>Registration</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20"/>
              </w:rPr>
              <w:t>A6-FFA</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20"/>
              </w:rPr>
              <w:t>Manufacturer serial number</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20"/>
              </w:rPr>
              <w:t>Not supplied for this demonstration</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20"/>
              </w:rPr>
              <w:t>Service start date</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20"/>
              </w:rPr>
              <w:t>1 November 2026</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20"/>
              </w:rPr>
              <w:t>Service end date</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20"/>
              </w:rPr>
              <w:t>31 October 2027</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20"/>
              </w:rPr>
              <w:t>Monthly service fee</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20"/>
              </w:rPr>
              <w:t>AED 18,000 excluding applicable taxes</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20"/>
              </w:rPr>
              <w:t>Total fixed service value</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20"/>
              </w:rPr>
              <w:t>AED 216,000 for 12 months excluding applicable taxes</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20"/>
              </w:rPr>
              <w:t>Contract custodian</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20"/>
              </w:rPr>
              <w:t>FlyFree Legal Department</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20"/>
              </w:rPr>
              <w:t>Document status</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20"/>
              </w:rPr>
              <w:t>Sample draft — pending internal approval and signature</w:t>
            </w:r>
          </w:p>
        </w:tc>
      </w:tr>
    </w:tbl>
    <w:p>
      <w:pPr>
        <w:pStyle w:val="Heading1"/>
      </w:pPr>
      <w:r>
        <w:t>2  Parties and appointment</w:t>
      </w:r>
    </w:p>
    <w:p>
      <w:r>
        <w:t>FlyFree appoints Aero Engineering Services to provide the continuing airworthiness management services described in this Agreement for A6-FFA during the stated term. For this sample, both parties are assumed to operate from Abu Dhabi, United Arab Emirates. Their legal entity particulars, registered addresses and authorised representatives have not been verified.</w:t>
      </w:r>
    </w:p>
    <w:p>
      <w:r>
        <w:t>The brief contract description is: Provision of continuing airworthiness management, maintenance planning, compliance monitoring and technical records support for Gulfstream aircraft A6-FFA.</w:t>
      </w:r>
    </w:p>
    <w:p>
      <w:r>
        <w:br w:type="page"/>
      </w:r>
    </w:p>
    <w:p>
      <w:pPr>
        <w:pStyle w:val="Heading1"/>
      </w:pPr>
      <w:r>
        <w:t>3  Service scope and operating responsibilities</w:t>
      </w:r>
    </w:p>
    <w:p>
      <w:r>
        <w:t>Services are limited to the aircraft and activities covered by the provider’s applicable approval and the agreed allocation of tasks. Before operational commencement, the parties shall verify the aircraft identity, type of operation, applicable UAE GCAA requirements and approval scope, and document any required regulatory acceptance. No CAMO approval is asserted for the fictional provider in this sample.</w:t>
      </w:r>
    </w:p>
    <w:p>
      <w:pPr>
        <w:pStyle w:val="Heading1"/>
      </w:pPr>
      <w:r>
        <w:t>3 1  Included services</w:t>
      </w:r>
    </w:p>
    <w:p>
      <w:pPr>
        <w:pStyle w:val="ListBullet"/>
        <w:spacing w:after="100"/>
      </w:pPr>
      <w:r>
        <w:t>Maintain a maintenance planning schedule against the approved aircraft maintenance programme and issue due-task forecasts using available flight hours, cycles and calendar limits.</w:t>
      </w:r>
    </w:p>
    <w:p>
      <w:pPr>
        <w:pStyle w:val="ListBullet"/>
        <w:spacing w:after="100"/>
      </w:pPr>
      <w:r>
        <w:t>Monitor applicable airworthiness directives and assess relevant manufacturer service information; record required actions and agreed implementation plans.</w:t>
      </w:r>
    </w:p>
    <w:p>
      <w:pPr>
        <w:pStyle w:val="ListBullet"/>
        <w:spacing w:after="100"/>
      </w:pPr>
      <w:r>
        <w:t>Coordinate maintenance work packages with appropriately approved maintenance organisations and review returned technical documentation for completeness.</w:t>
      </w:r>
    </w:p>
    <w:p>
      <w:pPr>
        <w:pStyle w:val="ListBullet"/>
        <w:spacing w:after="100"/>
      </w:pPr>
      <w:r>
        <w:t>Maintain the aircraft technical status, component and life-limit records, and supporting compliance evidence; reconcile utilisation and reported defects.</w:t>
      </w:r>
    </w:p>
    <w:p>
      <w:pPr>
        <w:pStyle w:val="ListBullet"/>
        <w:spacing w:after="100"/>
      </w:pPr>
      <w:r>
        <w:t>Provide monthly status reports and coordinate applicable reliability monitoring, audit support and airworthiness review preparation.</w:t>
      </w:r>
    </w:p>
    <w:p>
      <w:pPr>
        <w:pStyle w:val="Heading1"/>
      </w:pPr>
      <w:r>
        <w:t>3 2  FlyFree responsibilities</w:t>
      </w:r>
    </w:p>
    <w:p>
      <w:r>
        <w:t>FlyFree shall supply complete records and timely utilisation and defect information, provide access to the aircraft and relevant personnel, make the aircraft available for scheduled work, and fund approved maintenance. FlyFree shall promptly notify the provider of changes in ownership, operation, configuration or maintenance arrangements.</w:t>
      </w:r>
    </w:p>
    <w:p>
      <w:r>
        <w:t>The parties shall follow the applicable regulatory allocation of responsibility. This Agreement does not itself transfer statutory operator obligations, grant regulatory privileges, authorise flight, or permit operation with overdue mandatory maintenance.</w:t>
      </w:r>
    </w:p>
    <w:p>
      <w:pPr>
        <w:pStyle w:val="Heading1"/>
      </w:pPr>
      <w:r>
        <w:t>3 3  Excluded services</w:t>
      </w:r>
    </w:p>
    <w:p>
      <w:r>
        <w:t>The fixed fee excludes physical maintenance, parts, consumables, repair and overhaul, maintenance organisation charges, regulatory fees, travel and accommodation, pre-purchase inspections and aircraft sale support. Certificate issuance or airworthiness review privileges are included only if separately authorised and expressly agreed in writing. Maintenance release remains with the appropriately authorised organisation or personnel.</w:t>
      </w:r>
    </w:p>
    <w:p>
      <w:pPr>
        <w:pStyle w:val="Heading1"/>
      </w:pPr>
      <w:r>
        <w:t>4  Deliverables and escalation</w:t>
      </w:r>
    </w:p>
    <w:p>
      <w:r>
        <w:t>The provider shall deliver a monthly technical status report by the fifth business day after each month-end and an updated 90-day planning forecast. An urgent safety concern identified through its services shall be communicated to FlyFree’s nominated technical contact without delay. Routine enquiries shall be acknowledged within one business day. These commercial targets do not replace mandatory safety action or regulatory reporting deadlines.</w:t>
      </w:r>
    </w:p>
    <w:p>
      <w:r>
        <w:br w:type="page"/>
      </w:r>
    </w:p>
    <w:p>
      <w:pPr>
        <w:pStyle w:val="Heading1"/>
      </w:pPr>
      <w:r>
        <w:t>5  Fees and commercial administration</w:t>
      </w:r>
    </w:p>
    <w:tbl>
      <w:tblPr>
        <w:tblW w:type="auto" w:w="0"/>
        <w:jc w:val="center"/>
        <w:tblLayout w:type="fixed"/>
        <w:tblLook w:firstColumn="1" w:firstRow="1" w:lastColumn="0" w:lastRow="0" w:noHBand="0" w:noVBand="1" w:val="04A0"/>
      </w:tblPr>
      <w:tblGrid>
        <w:gridCol w:w="3024"/>
        <w:gridCol w:w="4176"/>
        <w:gridCol w:w="2736"/>
      </w:tblGrid>
      <w:tr>
        <w:trPr>
          <w:cantSplit/>
          <w:tblHeader/>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3"/>
          </w:tcPr>
          <w:p>
            <w:pPr>
              <w:spacing w:after="20" w:line="240" w:lineRule="auto"/>
            </w:pPr>
            <w:r>
              <w:rPr>
                <w:b/>
                <w:sz w:val="20"/>
              </w:rPr>
              <w:t>Charge</w:t>
            </w:r>
          </w:p>
        </w:tc>
        <w:tc>
          <w:tcPr>
            <w:tcW w:type="dxa" w:w="41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3"/>
          </w:tcPr>
          <w:p>
            <w:pPr>
              <w:spacing w:after="20" w:line="240" w:lineRule="auto"/>
            </w:pPr>
            <w:r>
              <w:rPr>
                <w:b/>
                <w:sz w:val="20"/>
              </w:rPr>
              <w:t>Basis</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3"/>
          </w:tcPr>
          <w:p>
            <w:pPr>
              <w:spacing w:after="20" w:line="240" w:lineRule="auto"/>
            </w:pPr>
            <w:r>
              <w:rPr>
                <w:b/>
                <w:sz w:val="20"/>
              </w:rPr>
              <w:t>Amount excluding taxes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20"/>
              </w:rPr>
              <w:t>Recurring CAMO management</w:t>
            </w:r>
          </w:p>
        </w:tc>
        <w:tc>
          <w:tcPr>
            <w:tcW w:type="dxa" w:w="41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20"/>
              </w:rPr>
              <w:t>12 months at AED 18,000 per month</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20"/>
              </w:rPr>
              <w:t>AED 216,000</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20"/>
              </w:rPr>
              <w:t>Additional approved work</w:t>
            </w:r>
          </w:p>
        </w:tc>
        <w:tc>
          <w:tcPr>
            <w:tcW w:type="dxa" w:w="41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20"/>
              </w:rPr>
              <w:t>Separate written scope and quotation</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20"/>
              </w:rPr>
              <w:t>As approved in writing</w:t>
            </w:r>
          </w:p>
        </w:tc>
      </w:tr>
    </w:tbl>
    <w:p>
      <w:pPr>
        <w:spacing w:before="140"/>
      </w:pPr>
      <w:r>
        <w:t>The provider shall invoice monthly in arrears. FlyFree shall pay undisputed invoices within 30 calendar days of receipt of a valid invoice. Applicable taxes shall be shown separately. The monthly fee covers the services in clause 3; no separate onboarding charge is assumed for this sample.</w:t>
      </w:r>
    </w:p>
    <w:p>
      <w:r>
        <w:t>FlyFree shall notify any invoice dispute within ten business days, identifying the disputed amount and reasons, and shall pay the undisputed balance when due. Additional work and third-party expenditure require prior written approval, except action expressly authorised under a separately agreed emergency protocol. Such approval does not waive safety or regulatory requirements.</w:t>
      </w:r>
    </w:p>
    <w:p>
      <w:pPr>
        <w:pStyle w:val="Heading1"/>
      </w:pPr>
      <w:r>
        <w:t>6  Changes and subcontracting</w:t>
      </w:r>
    </w:p>
    <w:p>
      <w:r>
        <w:t>Changes to aircraft coverage, service scope, fees or term require a written amendment approved by authorised representatives of both parties. A proposed amendment shall identify its operational, regulatory and financial effects. Routine correspondence does not change the agreed contract value.</w:t>
      </w:r>
    </w:p>
    <w:p>
      <w:r>
        <w:t>The provider shall obtain FlyFree’s written agreement before subcontracting a material service, confirm that the arrangement is permissible under applicable approvals, and remain accountable for its contracted performance. FlyFree and competent authorities shall have appropriate access to relevant records and activities.</w:t>
      </w:r>
    </w:p>
    <w:p>
      <w:pPr>
        <w:pStyle w:val="Heading1"/>
      </w:pPr>
      <w:r>
        <w:t>7  Records and confidentiality</w:t>
      </w:r>
    </w:p>
    <w:p>
      <w:r>
        <w:t>Aircraft-specific technical records supplied by FlyFree or created specifically for A6-FFA shall be available to FlyFree throughout the term. Pre-existing software, templates and methods remain the provider’s property. Records shall be protected against unauthorised access, loss or alteration, backed up, and retained for the period required by applicable requirements.</w:t>
      </w:r>
    </w:p>
    <w:p>
      <w:r>
        <w:t>Each party shall protect the other’s confidential commercial and technical information and disclose it only to personnel, advisers, maintenance organisations or authorities with a legitimate need, subject to appropriate safeguards or legal duties. These obligations survive termination. Neither party shall publish the other’s name or contract details without consent, except as required by law.</w:t>
      </w:r>
    </w:p>
    <w:p>
      <w:pPr>
        <w:pStyle w:val="Heading1"/>
      </w:pPr>
      <w:r>
        <w:t>8  Care and liability</w:t>
      </w:r>
    </w:p>
    <w:p>
      <w:r>
        <w:t>Each party shall exercise reasonable professional skill and care in its own obligations and maintain insurance appropriate to its activities. Subject to liabilities that cannot lawfully be limited, neither party shall be liable for indirect or consequential loss, and each party’s aggregate liability under this sample is limited to AED 216,000. That limitation does not apply to fraud, wilful misconduct or deliberate misuse of confidential information. No limit excuses an unsafe act or prevents regulatory action.</w:t>
      </w:r>
    </w:p>
    <w:p>
      <w:r>
        <w:br w:type="page"/>
      </w:r>
    </w:p>
    <w:p>
      <w:pPr>
        <w:pStyle w:val="Heading1"/>
      </w:pPr>
      <w:r>
        <w:t>9  Term renewal and termination</w:t>
      </w:r>
    </w:p>
    <w:p>
      <w:r>
        <w:t>The service term begins on 1 November 2026 and expires on 31 October 2027 unless terminated earlier. Renewal is not automatic and requires a written agreement. FlyFree Legal shall coordinate a renewal review 90 days before expiry; reminders at 60, 30 and 7 days are internal administration controls and do not extend the term.</w:t>
      </w:r>
    </w:p>
    <w:p>
      <w:r>
        <w:t>Either party may terminate for convenience on 60 calendar days’ written notice. For a material breach, the non-defaulting party may terminate if the breach remains unremedied 15 calendar days after written notice, where capable of remedy. Loss of a required approval or a serious unresolved safety concern permits immediate suspension of the affected service and appropriate termination. Required safety actions, record access and regulatory notifications shall not be obstructed by a payment dispute.</w:t>
      </w:r>
    </w:p>
    <w:p>
      <w:pPr>
        <w:pStyle w:val="Heading1"/>
      </w:pPr>
      <w:r>
        <w:t>10  Handover and continuity</w:t>
      </w:r>
    </w:p>
    <w:p>
      <w:r>
        <w:t>On expiry or termination, the provider shall cooperate with FlyFree and any incoming approved organisation to ensure an orderly transition. Subject to applicable requirements, an initial technical status and open-items pack shall be supplied within five business days and the agreed record transfer completed within ten business days. FlyFree shall pay properly accrued undisputed fees. The parties shall coordinate required notifications and prevent an unmanaged gap in mandatory continuing airworthiness arrangements.</w:t>
      </w:r>
    </w:p>
    <w:p>
      <w:pPr>
        <w:pStyle w:val="Heading1"/>
      </w:pPr>
      <w:r>
        <w:t>11  Notices disputes and general terms</w:t>
      </w:r>
    </w:p>
    <w:p>
      <w:r>
        <w:t>Contract notices shall be delivered in writing to each party’s designated contract representative using contact details agreed before execution. No real postal or electronic notice addresses are supplied in this demonstration. Operational safety communications shall also use the designated technical escalation channel.</w:t>
      </w:r>
    </w:p>
    <w:p>
      <w:r>
        <w:t>For this sample, the governing law is the applicable law of the United Arab Emirates as applied in Abu Dhabi, with disputes submitted to the competent courts of Abu Dhabi after 30 calendar days of good-faith senior management discussions. This provision is illustrative and has not been assessed for an actual transaction.</w:t>
      </w:r>
    </w:p>
    <w:p>
      <w:r>
        <w:t>A party affected by events beyond its reasonable control shall promptly notify the other and mitigate any delay. Such events do not authorise unsafe operations or remove mandatory safety obligations.</w:t>
      </w:r>
    </w:p>
    <w:p>
      <w:pPr>
        <w:pStyle w:val="Heading1"/>
      </w:pPr>
      <w:r>
        <w:t>12  Approval and signature record</w:t>
      </w:r>
    </w:p>
    <w:p>
      <w:r>
        <w:t>FlyFree internal workflow: Originator → Department Manager → Procurement → Legal → CFO → CEO. Internal approval does not replace execution by authorised signatories. After CEO approval, FlyFree Legal retains custody of the final signed agreement. This sample is unsigned and does not record completion of any approval stage.</w:t>
      </w:r>
    </w:p>
    <w:tbl>
      <w:tblPr>
        <w:tblW w:type="auto" w:w="0"/>
        <w:jc w:val="center"/>
        <w:tblLayout w:type="fixed"/>
        <w:tblLook w:firstColumn="1" w:firstRow="1" w:lastColumn="0" w:lastRow="0" w:noHBand="0" w:noVBand="1" w:val="04A0"/>
      </w:tblPr>
      <w:tblGrid>
        <w:gridCol w:w="4968"/>
        <w:gridCol w:w="4968"/>
      </w:tblGrid>
      <w:tr>
        <w:trPr>
          <w:cantSplit/>
          <w:tblHeader/>
        </w:trPr>
        <w:tc>
          <w:tcPr>
            <w:tcW w:type="dxa" w:w="49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3"/>
          </w:tcPr>
          <w:p>
            <w:pPr>
              <w:spacing w:after="20" w:line="240" w:lineRule="auto"/>
            </w:pPr>
            <w:r>
              <w:rPr>
                <w:b/>
                <w:sz w:val="20"/>
              </w:rPr>
              <w:t>For FlyFree</w:t>
            </w:r>
          </w:p>
        </w:tc>
        <w:tc>
          <w:tcPr>
            <w:tcW w:type="dxa" w:w="49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3"/>
          </w:tcPr>
          <w:p>
            <w:pPr>
              <w:spacing w:after="20" w:line="240" w:lineRule="auto"/>
            </w:pPr>
            <w:r>
              <w:rPr>
                <w:b/>
                <w:sz w:val="20"/>
              </w:rPr>
              <w:t>For Aero Engineering Services</w:t>
            </w:r>
          </w:p>
        </w:tc>
      </w:tr>
      <w:tr>
        <w:trPr>
          <w:cantSplit/>
        </w:trPr>
        <w:tc>
          <w:tcPr>
            <w:tcW w:type="dxa" w:w="49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20"/>
              </w:rPr>
              <w:t>Authorised signatory: __________________</w:t>
            </w:r>
          </w:p>
        </w:tc>
        <w:tc>
          <w:tcPr>
            <w:tcW w:type="dxa" w:w="49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20"/>
              </w:rPr>
              <w:t>Authorised signatory: __________________</w:t>
            </w:r>
          </w:p>
        </w:tc>
      </w:tr>
      <w:tr>
        <w:trPr>
          <w:cantSplit/>
        </w:trPr>
        <w:tc>
          <w:tcPr>
            <w:tcW w:type="dxa" w:w="49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20"/>
              </w:rPr>
              <w:t>Title: ______________________________</w:t>
            </w:r>
          </w:p>
        </w:tc>
        <w:tc>
          <w:tcPr>
            <w:tcW w:type="dxa" w:w="49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20"/>
              </w:rPr>
              <w:t>Title: ______________________________</w:t>
            </w:r>
          </w:p>
        </w:tc>
      </w:tr>
      <w:tr>
        <w:trPr>
          <w:cantSplit/>
        </w:trPr>
        <w:tc>
          <w:tcPr>
            <w:tcW w:type="dxa" w:w="49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20"/>
              </w:rPr>
              <w:t>Signature: __________________________</w:t>
            </w:r>
          </w:p>
        </w:tc>
        <w:tc>
          <w:tcPr>
            <w:tcW w:type="dxa" w:w="49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20" w:line="240" w:lineRule="auto"/>
            </w:pPr>
            <w:r>
              <w:rPr>
                <w:b w:val="0"/>
                <w:sz w:val="20"/>
              </w:rPr>
              <w:t>Signature: __________________________</w:t>
            </w:r>
          </w:p>
        </w:tc>
      </w:tr>
      <w:tr>
        <w:trPr>
          <w:cantSplit/>
        </w:trPr>
        <w:tc>
          <w:tcPr>
            <w:tcW w:type="dxa" w:w="49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20"/>
              </w:rPr>
              <w:t>Date: ______________________________</w:t>
            </w:r>
          </w:p>
        </w:tc>
        <w:tc>
          <w:tcPr>
            <w:tcW w:type="dxa" w:w="49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7F9FB"/>
          </w:tcPr>
          <w:p>
            <w:pPr>
              <w:spacing w:after="20" w:line="240" w:lineRule="auto"/>
            </w:pPr>
            <w:r>
              <w:rPr>
                <w:b w:val="0"/>
                <w:sz w:val="20"/>
              </w:rPr>
              <w:t>Date: ______________________________</w:t>
            </w:r>
          </w:p>
        </w:tc>
      </w:tr>
    </w:tbl>
    <w:p>
      <w:pPr>
        <w:spacing w:before="140"/>
      </w:pPr>
      <w:r>
        <w:rPr>
          <w:sz w:val="16"/>
        </w:rPr>
        <w:t>Technical background: UAE GCAA CAR-M Continuing Airworthiness Requirements, including the framework for continuing airworthiness responsibilities and contracting. Current applicability, approval conditions and mandatory contract wording must be checked before real use. This sample is not a regulatory compliance template.</w:t>
      </w:r>
    </w:p>
    <w:sectPr w:rsidR="00FC693F" w:rsidRPr="0006063C" w:rsidSect="00034616">
      <w:headerReference w:type="default" r:id="rId9"/>
      <w:footerReference w:type="default" r:id="rId10"/>
      <w:pgSz w:w="12240" w:h="15840"/>
      <w:pgMar w:top="979" w:right="1152" w:bottom="936"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CAPSTONE SAMPLE  •  NOT FOR EXECUTION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FLYFREE  |  CAMO SERVICES  |  A6-FFA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CAMO Services Agreement for Gulfstream A6-FFA</dc:title>
  <dc:subject>FlyFree and Aero Engineering Services capstone demonstration contract</dc:subject>
  <dc:creator>FlyFree Capstone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