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48"/>
        </w:rPr>
        <w:t>MANAGEMENT LETTER</w:t>
      </w:r>
    </w:p>
    <w:p>
      <w:pPr>
        <w:spacing w:after="160"/>
        <w:pBdr>
          <w:bottom w:val="single" w:sz="12" w:space="1" w:color="1F3A5F"/>
        </w:pBdr>
      </w:pPr>
      <w:r>
        <w:rPr>
          <w:i w:val="0"/>
          <w:color w:val="6B7280"/>
          <w:sz w:val="24"/>
        </w:rPr>
        <w:t>Review of journal entries, anomalies and system overrides</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4819"/>
        <w:gridCol w:w="4819"/>
      </w:tblGrid>
      <w:tr>
        <w:trPr>
          <w:cantSplit w:val="true"/>
        </w:trPr>
        <w:tc>
          <w:tcPr>
            <w:tcW w:type="dxa" w:w="2381"/>
            <w:shd w:val="clear" w:color="auto" w:fill="E8EEF6"/>
          </w:tcPr>
          <w:p>
            <w:pPr>
              <w:spacing w:after="0" w:before="0"/>
            </w:pPr>
            <w:r/>
            <w:r>
              <w:rPr>
                <w:b/>
                <w:i w:val="0"/>
                <w:color w:val="1F3A5F"/>
                <w:sz w:val="20"/>
              </w:rPr>
              <w:t>Entity</w:t>
            </w:r>
          </w:p>
        </w:tc>
        <w:tc>
          <w:tcPr>
            <w:tcW w:type="dxa" w:w="7257"/>
          </w:tcPr>
          <w:p>
            <w:pPr>
              <w:spacing w:after="0" w:before="0"/>
            </w:pPr>
            <w:r/>
            <w:r>
              <w:rPr>
                <w:b w:val="0"/>
                <w:i w:val="0"/>
                <w:sz w:val="20"/>
              </w:rPr>
              <w:t>Meridian Industries Pvt Ltd</w:t>
            </w:r>
          </w:p>
        </w:tc>
      </w:tr>
      <w:tr>
        <w:trPr>
          <w:cantSplit w:val="true"/>
        </w:trPr>
        <w:tc>
          <w:tcPr>
            <w:tcW w:type="dxa" w:w="2381"/>
            <w:shd w:val="clear" w:color="auto" w:fill="E8EEF6"/>
          </w:tcPr>
          <w:p>
            <w:pPr>
              <w:spacing w:after="0" w:before="0"/>
            </w:pPr>
            <w:r/>
            <w:r>
              <w:rPr>
                <w:b/>
                <w:i w:val="0"/>
                <w:color w:val="1F3A5F"/>
                <w:sz w:val="20"/>
              </w:rPr>
              <w:t>Period reviewed</w:t>
            </w:r>
          </w:p>
        </w:tc>
        <w:tc>
          <w:tcPr>
            <w:tcW w:type="dxa" w:w="7257"/>
          </w:tcPr>
          <w:p>
            <w:pPr>
              <w:spacing w:after="0" w:before="0"/>
            </w:pPr>
            <w:r/>
            <w:r>
              <w:rPr>
                <w:b w:val="0"/>
                <w:i w:val="0"/>
                <w:sz w:val="20"/>
              </w:rPr>
              <w:t>April 2025 to March 2026</w:t>
            </w:r>
          </w:p>
        </w:tc>
      </w:tr>
      <w:tr>
        <w:trPr>
          <w:cantSplit w:val="true"/>
        </w:trPr>
        <w:tc>
          <w:tcPr>
            <w:tcW w:type="dxa" w:w="2381"/>
            <w:shd w:val="clear" w:color="auto" w:fill="E8EEF6"/>
          </w:tcPr>
          <w:p>
            <w:pPr>
              <w:spacing w:after="0" w:before="0"/>
            </w:pPr>
            <w:r/>
            <w:r>
              <w:rPr>
                <w:b/>
                <w:i w:val="0"/>
                <w:color w:val="1F3A5F"/>
                <w:sz w:val="20"/>
              </w:rPr>
              <w:t>Date</w:t>
            </w:r>
          </w:p>
        </w:tc>
        <w:tc>
          <w:tcPr>
            <w:tcW w:type="dxa" w:w="7257"/>
          </w:tcPr>
          <w:p>
            <w:pPr>
              <w:spacing w:after="0" w:before="0"/>
            </w:pPr>
            <w:r/>
            <w:r>
              <w:rPr>
                <w:b w:val="0"/>
                <w:i w:val="0"/>
                <w:sz w:val="20"/>
              </w:rPr>
              <w:t>17 October 2026</w:t>
            </w:r>
          </w:p>
        </w:tc>
      </w:tr>
      <w:tr>
        <w:trPr>
          <w:cantSplit w:val="true"/>
        </w:trPr>
        <w:tc>
          <w:tcPr>
            <w:tcW w:type="dxa" w:w="2381"/>
            <w:shd w:val="clear" w:color="auto" w:fill="E8EEF6"/>
          </w:tcPr>
          <w:p>
            <w:pPr>
              <w:spacing w:after="0" w:before="0"/>
            </w:pPr>
            <w:r/>
            <w:r>
              <w:rPr>
                <w:b/>
                <w:i w:val="0"/>
                <w:color w:val="1F3A5F"/>
                <w:sz w:val="20"/>
              </w:rPr>
              <w:t>Status</w:t>
            </w:r>
          </w:p>
        </w:tc>
        <w:tc>
          <w:tcPr>
            <w:tcW w:type="dxa" w:w="7257"/>
          </w:tcPr>
          <w:p>
            <w:pPr>
              <w:spacing w:after="0" w:before="0"/>
            </w:pPr>
            <w:r/>
            <w:r>
              <w:rPr>
                <w:b w:val="0"/>
                <w:i w:val="0"/>
                <w:sz w:val="20"/>
              </w:rPr>
              <w:t>Draft - for discussion with management</w:t>
            </w:r>
          </w:p>
        </w:tc>
      </w:tr>
      <w:tr>
        <w:trPr>
          <w:cantSplit w:val="true"/>
        </w:trPr>
        <w:tc>
          <w:tcPr>
            <w:tcW w:type="dxa" w:w="2381"/>
            <w:shd w:val="clear" w:color="auto" w:fill="E8EEF6"/>
          </w:tcPr>
          <w:p>
            <w:pPr>
              <w:spacing w:after="0" w:before="0"/>
            </w:pPr>
            <w:r/>
            <w:r>
              <w:rPr>
                <w:b/>
                <w:i w:val="0"/>
                <w:color w:val="1F3A5F"/>
                <w:sz w:val="20"/>
              </w:rPr>
              <w:t>Scope</w:t>
            </w:r>
          </w:p>
        </w:tc>
        <w:tc>
          <w:tcPr>
            <w:tcW w:type="dxa" w:w="7257"/>
          </w:tcPr>
          <w:p>
            <w:pPr>
              <w:spacing w:after="0" w:before="0"/>
            </w:pPr>
            <w:r/>
            <w:r>
              <w:rPr>
                <w:b w:val="0"/>
                <w:i w:val="0"/>
                <w:sz w:val="20"/>
              </w:rPr>
              <w:t>100% of journal entries (51,910 entries) - automated analytics</w:t>
            </w:r>
          </w:p>
        </w:tc>
      </w:tr>
      <w:tr>
        <w:trPr>
          <w:cantSplit w:val="true"/>
        </w:trPr>
        <w:tc>
          <w:tcPr>
            <w:tcW w:type="dxa" w:w="2381"/>
            <w:shd w:val="clear" w:color="auto" w:fill="E8EEF6"/>
          </w:tcPr>
          <w:p>
            <w:pPr>
              <w:spacing w:after="0" w:before="0"/>
            </w:pPr>
            <w:r/>
            <w:r>
              <w:rPr>
                <w:b/>
                <w:i w:val="0"/>
                <w:color w:val="1F3A5F"/>
                <w:sz w:val="20"/>
              </w:rPr>
              <w:t>Prepared by</w:t>
            </w:r>
          </w:p>
        </w:tc>
        <w:tc>
          <w:tcPr>
            <w:tcW w:type="dxa" w:w="7257"/>
          </w:tcPr>
          <w:p>
            <w:pPr>
              <w:spacing w:after="0" w:before="0"/>
            </w:pPr>
            <w:r/>
            <w:r>
              <w:rPr>
                <w:b w:val="0"/>
                <w:i w:val="0"/>
                <w:sz w:val="20"/>
              </w:rPr>
              <w:t>[Name / designation - to be completed]</w:t>
            </w:r>
          </w:p>
        </w:tc>
      </w:tr>
    </w:tbl>
    <w:p>
      <w:pPr>
        <w:spacing w:after="80"/>
      </w:pPr>
      <w:r>
        <w:rPr>
          <w:i w:val="0"/>
        </w:rPr>
      </w:r>
    </w:p>
    <w:p>
      <w:pPr>
        <w:spacing w:after="40"/>
      </w:pPr>
      <w:r>
        <w:rPr>
          <w:b/>
        </w:rPr>
        <w:t xml:space="preserve">To: </w:t>
      </w:r>
      <w:r>
        <w:rPr>
          <w:i w:val="0"/>
        </w:rPr>
        <w:t>The Board of Directors and the Audit Committee</w:t>
      </w:r>
    </w:p>
    <w:p>
      <w:r>
        <w:rPr>
          <w:b/>
        </w:rPr>
        <w:t xml:space="preserve">Subject: </w:t>
      </w:r>
      <w:r>
        <w:rPr>
          <w:i w:val="0"/>
        </w:rPr>
        <w:t>Journal-entry anomalies and system-override controls - Meridian Industries Pvt Ltd</w:t>
      </w:r>
    </w:p>
    <w:p>
      <w:r>
        <w:rPr>
          <w:i w:val="0"/>
        </w:rPr>
        <w:t>Dear Members,</w:t>
      </w:r>
    </w:p>
    <w:p>
      <w:r>
        <w:rPr>
          <w:i w:val="0"/>
        </w:rPr>
        <w:t>We have carried out an analytical review of the general-ledger journal entries of Meridian Industries Pvt Ltd for April 2025 to March 2026. Our automated analytics tested 100% of the 51,910 entries (total value ₹17,63,21,25,877) against twelve risk tests. This letter sets out the matters that, in our view, require management's attention, with our recommendations. It is based on analytics of the ledger extract provided and is issued for discussion; it is not an audit opinion.</w:t>
      </w:r>
    </w:p>
    <w:p>
      <w:pPr>
        <w:pStyle w:val="Heading1"/>
      </w:pPr>
      <w:r>
        <w:t>1. Executive summary</w:t>
      </w:r>
    </w:p>
    <w:p>
      <w:r>
        <w:rPr>
          <w:i w:val="0"/>
        </w:rPr>
        <w:t>We reviewed journal-entry controls for Meridian Industries Pvt Ltd for the period April 2025 to March 2026. The testing focused on extreme-risk entries flagged by the system. Several high-risk weaknesses were identified, notably unauthorised overrides, weekend/after-hours postings near the approval limit, and large outlier transactions.</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2409"/>
        <w:gridCol w:w="2409"/>
        <w:gridCol w:w="2409"/>
        <w:gridCol w:w="2409"/>
      </w:tblGrid>
      <w:tr>
        <w:trPr>
          <w:cantSplit w:val="true"/>
          <w:tblHeader w:val="true"/>
        </w:trPr>
        <w:tc>
          <w:tcPr>
            <w:tcW w:type="dxa" w:w="1928"/>
            <w:shd w:val="clear" w:color="auto" w:fill="1F3A5F"/>
          </w:tcPr>
          <w:p>
            <w:pPr>
              <w:spacing w:after="0" w:before="0"/>
            </w:pPr>
            <w:r/>
            <w:r>
              <w:rPr>
                <w:b/>
                <w:i w:val="0"/>
                <w:color w:val="FFFFFF"/>
                <w:sz w:val="19"/>
              </w:rPr>
              <w:t>Key figure</w:t>
            </w:r>
          </w:p>
        </w:tc>
        <w:tc>
          <w:tcPr>
            <w:tcW w:type="dxa" w:w="2948"/>
            <w:shd w:val="clear" w:color="auto" w:fill="1F3A5F"/>
          </w:tcPr>
          <w:p>
            <w:pPr>
              <w:spacing w:after="0" w:before="0"/>
            </w:pPr>
            <w:r/>
            <w:r>
              <w:rPr>
                <w:b/>
                <w:i w:val="0"/>
                <w:color w:val="FFFFFF"/>
                <w:sz w:val="19"/>
              </w:rPr>
              <w:t>Value</w:t>
            </w:r>
          </w:p>
        </w:tc>
        <w:tc>
          <w:tcPr>
            <w:tcW w:type="dxa" w:w="2211"/>
            <w:shd w:val="clear" w:color="auto" w:fill="1F3A5F"/>
          </w:tcPr>
          <w:p>
            <w:pPr>
              <w:spacing w:after="0" w:before="0"/>
            </w:pPr>
            <w:r/>
            <w:r>
              <w:rPr>
                <w:b/>
                <w:i w:val="0"/>
                <w:color w:val="FFFFFF"/>
                <w:sz w:val="19"/>
              </w:rPr>
              <w:t>Key figure</w:t>
            </w:r>
          </w:p>
        </w:tc>
        <w:tc>
          <w:tcPr>
            <w:tcW w:type="dxa" w:w="2551"/>
            <w:shd w:val="clear" w:color="auto" w:fill="1F3A5F"/>
          </w:tcPr>
          <w:p>
            <w:pPr>
              <w:spacing w:after="0" w:before="0"/>
            </w:pPr>
            <w:r/>
            <w:r>
              <w:rPr>
                <w:b/>
                <w:i w:val="0"/>
                <w:color w:val="FFFFFF"/>
                <w:sz w:val="19"/>
              </w:rPr>
              <w:t>Value</w:t>
            </w:r>
          </w:p>
        </w:tc>
      </w:tr>
      <w:tr>
        <w:trPr>
          <w:cantSplit w:val="true"/>
        </w:trPr>
        <w:tc>
          <w:tcPr>
            <w:tcW w:type="dxa" w:w="1928"/>
          </w:tcPr>
          <w:p>
            <w:pPr>
              <w:spacing w:after="0" w:before="0"/>
            </w:pPr>
            <w:r>
              <w:rPr>
                <w:b/>
              </w:rPr>
            </w:r>
            <w:r>
              <w:rPr>
                <w:b w:val="0"/>
                <w:i w:val="0"/>
                <w:sz w:val="19"/>
              </w:rPr>
              <w:t>Entries tested</w:t>
            </w:r>
          </w:p>
        </w:tc>
        <w:tc>
          <w:tcPr>
            <w:tcW w:type="dxa" w:w="2948"/>
          </w:tcPr>
          <w:p>
            <w:pPr>
              <w:spacing w:after="0" w:before="0"/>
            </w:pPr>
            <w:r/>
            <w:r>
              <w:rPr>
                <w:b w:val="0"/>
                <w:i w:val="0"/>
                <w:sz w:val="19"/>
              </w:rPr>
              <w:t>51,910</w:t>
            </w:r>
          </w:p>
        </w:tc>
        <w:tc>
          <w:tcPr>
            <w:tcW w:type="dxa" w:w="2211"/>
          </w:tcPr>
          <w:p>
            <w:pPr>
              <w:spacing w:after="0" w:before="0"/>
            </w:pPr>
            <w:r>
              <w:rPr>
                <w:b/>
              </w:rPr>
            </w:r>
            <w:r>
              <w:rPr>
                <w:b w:val="0"/>
                <w:i w:val="0"/>
                <w:sz w:val="19"/>
              </w:rPr>
              <w:t>Extreme-risk entries</w:t>
            </w:r>
          </w:p>
        </w:tc>
        <w:tc>
          <w:tcPr>
            <w:tcW w:type="dxa" w:w="2551"/>
          </w:tcPr>
          <w:p>
            <w:pPr>
              <w:spacing w:after="0" w:before="0"/>
            </w:pPr>
            <w:r/>
            <w:r>
              <w:rPr>
                <w:b w:val="0"/>
                <w:i w:val="0"/>
                <w:sz w:val="19"/>
              </w:rPr>
              <w:t>62</w:t>
            </w:r>
          </w:p>
        </w:tc>
      </w:tr>
      <w:tr>
        <w:trPr>
          <w:cantSplit w:val="true"/>
        </w:trPr>
        <w:tc>
          <w:tcPr>
            <w:tcW w:type="dxa" w:w="1928"/>
            <w:shd w:val="clear" w:color="auto" w:fill="F3F6FA"/>
          </w:tcPr>
          <w:p>
            <w:pPr>
              <w:spacing w:after="0" w:before="0"/>
            </w:pPr>
            <w:r>
              <w:rPr>
                <w:b/>
              </w:rPr>
            </w:r>
            <w:r>
              <w:rPr>
                <w:b w:val="0"/>
                <w:i w:val="0"/>
                <w:sz w:val="19"/>
              </w:rPr>
              <w:t>Total value</w:t>
            </w:r>
          </w:p>
        </w:tc>
        <w:tc>
          <w:tcPr>
            <w:tcW w:type="dxa" w:w="2948"/>
            <w:shd w:val="clear" w:color="auto" w:fill="F3F6FA"/>
          </w:tcPr>
          <w:p>
            <w:pPr>
              <w:spacing w:after="0" w:before="0"/>
            </w:pPr>
            <w:r/>
            <w:r>
              <w:rPr>
                <w:b w:val="0"/>
                <w:i w:val="0"/>
                <w:sz w:val="19"/>
              </w:rPr>
              <w:t>₹17,63,21,25,877</w:t>
            </w:r>
          </w:p>
        </w:tc>
        <w:tc>
          <w:tcPr>
            <w:tcW w:type="dxa" w:w="2211"/>
            <w:shd w:val="clear" w:color="auto" w:fill="F3F6FA"/>
          </w:tcPr>
          <w:p>
            <w:pPr>
              <w:spacing w:after="0" w:before="0"/>
            </w:pPr>
            <w:r>
              <w:rPr>
                <w:b/>
              </w:rPr>
            </w:r>
            <w:r>
              <w:rPr>
                <w:b w:val="0"/>
                <w:i w:val="0"/>
                <w:sz w:val="19"/>
              </w:rPr>
              <w:t>High-risk entries</w:t>
            </w:r>
          </w:p>
        </w:tc>
        <w:tc>
          <w:tcPr>
            <w:tcW w:type="dxa" w:w="2551"/>
            <w:shd w:val="clear" w:color="auto" w:fill="F3F6FA"/>
          </w:tcPr>
          <w:p>
            <w:pPr>
              <w:spacing w:after="0" w:before="0"/>
            </w:pPr>
            <w:r/>
            <w:r>
              <w:rPr>
                <w:b w:val="0"/>
                <w:i w:val="0"/>
                <w:sz w:val="19"/>
              </w:rPr>
              <w:t>45</w:t>
            </w:r>
          </w:p>
        </w:tc>
      </w:tr>
      <w:tr>
        <w:trPr>
          <w:cantSplit w:val="true"/>
        </w:trPr>
        <w:tc>
          <w:tcPr>
            <w:tcW w:type="dxa" w:w="1928"/>
          </w:tcPr>
          <w:p>
            <w:pPr>
              <w:spacing w:after="0" w:before="0"/>
            </w:pPr>
            <w:r>
              <w:rPr>
                <w:b/>
              </w:rPr>
            </w:r>
            <w:r>
              <w:rPr>
                <w:b w:val="0"/>
                <w:i w:val="0"/>
                <w:sz w:val="19"/>
              </w:rPr>
              <w:t>Entries flagged</w:t>
            </w:r>
          </w:p>
        </w:tc>
        <w:tc>
          <w:tcPr>
            <w:tcW w:type="dxa" w:w="2948"/>
          </w:tcPr>
          <w:p>
            <w:pPr>
              <w:spacing w:after="0" w:before="0"/>
            </w:pPr>
            <w:r/>
            <w:r>
              <w:rPr>
                <w:b w:val="0"/>
                <w:i w:val="0"/>
                <w:sz w:val="19"/>
              </w:rPr>
              <w:t>1,951 (3.8%)</w:t>
            </w:r>
          </w:p>
        </w:tc>
        <w:tc>
          <w:tcPr>
            <w:tcW w:type="dxa" w:w="2211"/>
          </w:tcPr>
          <w:p>
            <w:pPr>
              <w:spacing w:after="0" w:before="0"/>
            </w:pPr>
            <w:r>
              <w:rPr>
                <w:b/>
              </w:rPr>
            </w:r>
            <w:r>
              <w:rPr>
                <w:b w:val="0"/>
                <w:i w:val="0"/>
                <w:sz w:val="19"/>
              </w:rPr>
              <w:t>High + Extreme value</w:t>
            </w:r>
          </w:p>
        </w:tc>
        <w:tc>
          <w:tcPr>
            <w:tcW w:type="dxa" w:w="2551"/>
          </w:tcPr>
          <w:p>
            <w:pPr>
              <w:spacing w:after="0" w:before="0"/>
            </w:pPr>
            <w:r/>
            <w:r>
              <w:rPr>
                <w:b w:val="0"/>
                <w:i w:val="0"/>
                <w:sz w:val="19"/>
              </w:rPr>
              <w:t>₹1,47,81,36,199</w:t>
            </w:r>
          </w:p>
        </w:tc>
      </w:tr>
    </w:tbl>
    <w:p>
      <w:pPr>
        <w:spacing w:after="40"/>
      </w:pPr>
      <w:r>
        <w:rPr>
          <w:i w:val="0"/>
        </w:rPr>
      </w:r>
    </w:p>
    <w:p>
      <w:r>
        <w:rPr>
          <w:b/>
        </w:rPr>
        <w:t xml:space="preserve">Overall conclusion on controls: </w:t>
      </w:r>
      <w:r>
        <w:rPr>
          <w:i w:val="0"/>
        </w:rPr>
        <w:t>Overall, the journal-entry control environment exhibits material gaps in segregation of duties and approval workflows that require remediation.</w:t>
      </w:r>
    </w:p>
    <w:p>
      <w:pPr>
        <w:pStyle w:val="Heading1"/>
      </w:pPr>
      <w:r>
        <w:t>2. Summary of observations</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2409"/>
        <w:gridCol w:w="2409"/>
        <w:gridCol w:w="2409"/>
        <w:gridCol w:w="2409"/>
      </w:tblGrid>
      <w:tr>
        <w:trPr>
          <w:cantSplit w:val="true"/>
          <w:tblHeader w:val="true"/>
        </w:trPr>
        <w:tc>
          <w:tcPr>
            <w:tcW w:type="dxa" w:w="567"/>
            <w:shd w:val="clear" w:color="auto" w:fill="1F3A5F"/>
          </w:tcPr>
          <w:p>
            <w:pPr>
              <w:spacing w:after="0" w:before="0"/>
            </w:pPr>
            <w:r/>
            <w:r>
              <w:rPr>
                <w:b/>
                <w:i w:val="0"/>
                <w:color w:val="FFFFFF"/>
                <w:sz w:val="19"/>
              </w:rPr>
              <w:t>#</w:t>
            </w:r>
          </w:p>
        </w:tc>
        <w:tc>
          <w:tcPr>
            <w:tcW w:type="dxa" w:w="6123"/>
            <w:shd w:val="clear" w:color="auto" w:fill="1F3A5F"/>
          </w:tcPr>
          <w:p>
            <w:pPr>
              <w:spacing w:after="0" w:before="0"/>
            </w:pPr>
            <w:r/>
            <w:r>
              <w:rPr>
                <w:b/>
                <w:i w:val="0"/>
                <w:color w:val="FFFFFF"/>
                <w:sz w:val="19"/>
              </w:rPr>
              <w:t>Observation</w:t>
            </w:r>
          </w:p>
        </w:tc>
        <w:tc>
          <w:tcPr>
            <w:tcW w:type="dxa" w:w="1474"/>
            <w:shd w:val="clear" w:color="auto" w:fill="1F3A5F"/>
          </w:tcPr>
          <w:p>
            <w:pPr>
              <w:spacing w:after="0" w:before="0"/>
            </w:pPr>
            <w:r/>
            <w:r>
              <w:rPr>
                <w:b/>
                <w:i w:val="0"/>
                <w:color w:val="FFFFFF"/>
                <w:sz w:val="19"/>
              </w:rPr>
              <w:t>Priority</w:t>
            </w:r>
          </w:p>
        </w:tc>
        <w:tc>
          <w:tcPr>
            <w:tcW w:type="dxa" w:w="1474"/>
            <w:shd w:val="clear" w:color="auto" w:fill="1F3A5F"/>
          </w:tcPr>
          <w:p>
            <w:pPr>
              <w:spacing w:after="0" w:before="0"/>
            </w:pPr>
            <w:r/>
            <w:r>
              <w:rPr>
                <w:b/>
                <w:i w:val="0"/>
                <w:color w:val="FFFFFF"/>
                <w:sz w:val="19"/>
              </w:rPr>
              <w:t>Entries listed</w:t>
            </w:r>
          </w:p>
        </w:tc>
      </w:tr>
      <w:tr>
        <w:trPr>
          <w:cantSplit w:val="true"/>
        </w:trPr>
        <w:tc>
          <w:tcPr>
            <w:tcW w:type="dxa" w:w="567"/>
          </w:tcPr>
          <w:p>
            <w:pPr>
              <w:spacing w:after="0" w:before="0"/>
            </w:pPr>
            <w:r/>
            <w:r>
              <w:rPr>
                <w:b w:val="0"/>
                <w:i w:val="0"/>
                <w:sz w:val="19"/>
              </w:rPr>
              <w:t>1</w:t>
            </w:r>
          </w:p>
        </w:tc>
        <w:tc>
          <w:tcPr>
            <w:tcW w:type="dxa" w:w="6123"/>
          </w:tcPr>
          <w:p>
            <w:pPr>
              <w:spacing w:after="0" w:before="0"/>
            </w:pPr>
            <w:r/>
            <w:r>
              <w:rPr>
                <w:b w:val="0"/>
                <w:i w:val="0"/>
                <w:sz w:val="19"/>
              </w:rPr>
              <w:t>System overrides without independent approval</w:t>
            </w:r>
          </w:p>
        </w:tc>
        <w:tc>
          <w:tcPr>
            <w:tcW w:type="dxa" w:w="1474"/>
          </w:tcPr>
          <w:p>
            <w:pPr>
              <w:spacing w:after="0" w:before="0"/>
            </w:pPr>
            <w:r>
              <w:rPr>
                <w:b/>
                <w:color w:val="C00000"/>
              </w:rPr>
            </w:r>
            <w:r>
              <w:rPr>
                <w:b w:val="0"/>
                <w:i w:val="0"/>
                <w:sz w:val="19"/>
              </w:rPr>
              <w:t>High</w:t>
            </w:r>
          </w:p>
        </w:tc>
        <w:tc>
          <w:tcPr>
            <w:tcW w:type="dxa" w:w="1474"/>
          </w:tcPr>
          <w:p>
            <w:pPr>
              <w:spacing w:after="0" w:before="0"/>
            </w:pPr>
            <w:r/>
            <w:r>
              <w:rPr>
                <w:b w:val="0"/>
                <w:i w:val="0"/>
                <w:sz w:val="19"/>
              </w:rPr>
              <w:t>8</w:t>
            </w:r>
          </w:p>
        </w:tc>
      </w:tr>
      <w:tr>
        <w:trPr>
          <w:cantSplit w:val="true"/>
        </w:trPr>
        <w:tc>
          <w:tcPr>
            <w:tcW w:type="dxa" w:w="567"/>
            <w:shd w:val="clear" w:color="auto" w:fill="F3F6FA"/>
          </w:tcPr>
          <w:p>
            <w:pPr>
              <w:spacing w:after="0" w:before="0"/>
            </w:pPr>
            <w:r/>
            <w:r>
              <w:rPr>
                <w:b w:val="0"/>
                <w:i w:val="0"/>
                <w:sz w:val="19"/>
              </w:rPr>
              <w:t>2</w:t>
            </w:r>
          </w:p>
        </w:tc>
        <w:tc>
          <w:tcPr>
            <w:tcW w:type="dxa" w:w="6123"/>
            <w:shd w:val="clear" w:color="auto" w:fill="F3F6FA"/>
          </w:tcPr>
          <w:p>
            <w:pPr>
              <w:spacing w:after="0" w:before="0"/>
            </w:pPr>
            <w:r/>
            <w:r>
              <w:rPr>
                <w:b w:val="0"/>
                <w:i w:val="0"/>
                <w:sz w:val="19"/>
              </w:rPr>
              <w:t>Weekend and after-hours postings near approval threshold</w:t>
            </w:r>
          </w:p>
        </w:tc>
        <w:tc>
          <w:tcPr>
            <w:tcW w:type="dxa" w:w="1474"/>
            <w:shd w:val="clear" w:color="auto" w:fill="F3F6FA"/>
          </w:tcPr>
          <w:p>
            <w:pPr>
              <w:spacing w:after="0" w:before="0"/>
            </w:pPr>
            <w:r>
              <w:rPr>
                <w:b/>
                <w:color w:val="C00000"/>
              </w:rPr>
            </w:r>
            <w:r>
              <w:rPr>
                <w:b w:val="0"/>
                <w:i w:val="0"/>
                <w:sz w:val="19"/>
              </w:rPr>
              <w:t>High</w:t>
            </w:r>
          </w:p>
        </w:tc>
        <w:tc>
          <w:tcPr>
            <w:tcW w:type="dxa" w:w="1474"/>
            <w:shd w:val="clear" w:color="auto" w:fill="F3F6FA"/>
          </w:tcPr>
          <w:p>
            <w:pPr>
              <w:spacing w:after="0" w:before="0"/>
            </w:pPr>
            <w:r/>
            <w:r>
              <w:rPr>
                <w:b w:val="0"/>
                <w:i w:val="0"/>
                <w:sz w:val="19"/>
              </w:rPr>
              <w:t>0</w:t>
            </w:r>
          </w:p>
        </w:tc>
      </w:tr>
      <w:tr>
        <w:trPr>
          <w:cantSplit w:val="true"/>
        </w:trPr>
        <w:tc>
          <w:tcPr>
            <w:tcW w:type="dxa" w:w="567"/>
          </w:tcPr>
          <w:p>
            <w:pPr>
              <w:spacing w:after="0" w:before="0"/>
            </w:pPr>
            <w:r/>
            <w:r>
              <w:rPr>
                <w:b w:val="0"/>
                <w:i w:val="0"/>
                <w:sz w:val="19"/>
              </w:rPr>
              <w:t>3</w:t>
            </w:r>
          </w:p>
        </w:tc>
        <w:tc>
          <w:tcPr>
            <w:tcW w:type="dxa" w:w="6123"/>
          </w:tcPr>
          <w:p>
            <w:pPr>
              <w:spacing w:after="0" w:before="0"/>
            </w:pPr>
            <w:r/>
            <w:r>
              <w:rPr>
                <w:b w:val="0"/>
                <w:i w:val="0"/>
                <w:sz w:val="19"/>
              </w:rPr>
              <w:t>Large variance outlier transactions</w:t>
            </w:r>
          </w:p>
        </w:tc>
        <w:tc>
          <w:tcPr>
            <w:tcW w:type="dxa" w:w="1474"/>
          </w:tcPr>
          <w:p>
            <w:pPr>
              <w:spacing w:after="0" w:before="0"/>
            </w:pPr>
            <w:r>
              <w:rPr>
                <w:b/>
                <w:color w:val="C00000"/>
              </w:rPr>
            </w:r>
            <w:r>
              <w:rPr>
                <w:b w:val="0"/>
                <w:i w:val="0"/>
                <w:sz w:val="19"/>
              </w:rPr>
              <w:t>High</w:t>
            </w:r>
          </w:p>
        </w:tc>
        <w:tc>
          <w:tcPr>
            <w:tcW w:type="dxa" w:w="1474"/>
          </w:tcPr>
          <w:p>
            <w:pPr>
              <w:spacing w:after="0" w:before="0"/>
            </w:pPr>
            <w:r/>
            <w:r>
              <w:rPr>
                <w:b w:val="0"/>
                <w:i w:val="0"/>
                <w:sz w:val="19"/>
              </w:rPr>
              <w:t>2</w:t>
            </w:r>
          </w:p>
        </w:tc>
      </w:tr>
      <w:tr>
        <w:trPr>
          <w:cantSplit w:val="true"/>
        </w:trPr>
        <w:tc>
          <w:tcPr>
            <w:tcW w:type="dxa" w:w="567"/>
            <w:shd w:val="clear" w:color="auto" w:fill="F3F6FA"/>
          </w:tcPr>
          <w:p>
            <w:pPr>
              <w:spacing w:after="0" w:before="0"/>
            </w:pPr>
            <w:r/>
            <w:r>
              <w:rPr>
                <w:b w:val="0"/>
                <w:i w:val="0"/>
                <w:sz w:val="19"/>
              </w:rPr>
              <w:t>4</w:t>
            </w:r>
          </w:p>
        </w:tc>
        <w:tc>
          <w:tcPr>
            <w:tcW w:type="dxa" w:w="6123"/>
            <w:shd w:val="clear" w:color="auto" w:fill="F3F6FA"/>
          </w:tcPr>
          <w:p>
            <w:pPr>
              <w:spacing w:after="0" w:before="0"/>
            </w:pPr>
            <w:r/>
            <w:r>
              <w:rPr>
                <w:b w:val="0"/>
                <w:i w:val="0"/>
                <w:sz w:val="19"/>
              </w:rPr>
              <w:t>Debit-credit imbalance in a large entry</w:t>
            </w:r>
          </w:p>
        </w:tc>
        <w:tc>
          <w:tcPr>
            <w:tcW w:type="dxa" w:w="1474"/>
            <w:shd w:val="clear" w:color="auto" w:fill="F3F6FA"/>
          </w:tcPr>
          <w:p>
            <w:pPr>
              <w:spacing w:after="0" w:before="0"/>
            </w:pPr>
            <w:r>
              <w:rPr>
                <w:b/>
                <w:color w:val="C55A11"/>
              </w:rPr>
            </w:r>
            <w:r>
              <w:rPr>
                <w:b w:val="0"/>
                <w:i w:val="0"/>
                <w:sz w:val="19"/>
              </w:rPr>
              <w:t>Medium</w:t>
            </w:r>
          </w:p>
        </w:tc>
        <w:tc>
          <w:tcPr>
            <w:tcW w:type="dxa" w:w="1474"/>
            <w:shd w:val="clear" w:color="auto" w:fill="F3F6FA"/>
          </w:tcPr>
          <w:p>
            <w:pPr>
              <w:spacing w:after="0" w:before="0"/>
            </w:pPr>
            <w:r/>
            <w:r>
              <w:rPr>
                <w:b w:val="0"/>
                <w:i w:val="0"/>
                <w:sz w:val="19"/>
              </w:rPr>
              <w:t>0</w:t>
            </w:r>
          </w:p>
        </w:tc>
      </w:tr>
    </w:tbl>
    <w:p>
      <w:pPr>
        <w:pStyle w:val="Heading1"/>
      </w:pPr>
      <w:r>
        <w:t>3. Detailed observations</w:t>
      </w:r>
    </w:p>
    <w:p>
      <w:pPr>
        <w:pStyle w:val="Heading2"/>
      </w:pPr>
      <w:r>
        <w:t>Observation 1: System overrides without independent approval</w:t>
      </w:r>
    </w:p>
    <w:p>
      <w:pPr>
        <w:keepNext/>
        <w:spacing w:after="80"/>
      </w:pPr>
      <w:r>
        <w:rPr>
          <w:b/>
        </w:rPr>
        <w:t xml:space="preserve">Priority: </w:t>
      </w:r>
      <w:r>
        <w:rPr>
          <w:b/>
          <w:i w:val="0"/>
          <w:color w:val="C00000"/>
        </w:rPr>
        <w:t>High</w:t>
      </w:r>
    </w:p>
    <w:p>
      <w:pPr>
        <w:keepNext/>
      </w:pPr>
      <w:r>
        <w:rPr>
          <w:b/>
        </w:rPr>
        <w:t xml:space="preserve">Observation: </w:t>
      </w:r>
      <w:r>
        <w:rPr>
          <w:i w:val="0"/>
        </w:rPr>
        <w:t>Eight journal entries were posted using the system override function but had no independent approver recorded. All entries were manual and posted by the same user who initiated the override. The amounts are just below the ₹10,00,000 approval limit, increasing the risk of unauthorised adjustments.</w:t>
      </w:r>
    </w:p>
    <w:p>
      <w:pPr>
        <w:keepNext/>
      </w:pPr>
      <w:r>
        <w:rPr>
          <w:b/>
        </w:rPr>
        <w:t xml:space="preserve">Ledger-wide result: </w:t>
      </w:r>
      <w:r>
        <w:rPr>
          <w:i w:val="0"/>
        </w:rPr>
        <w:t>338 entries across the whole ledger (value ₹63,79,84,485) triggered: Override without approval / self-approval (SoD); Just below approval threshold.</w:t>
      </w:r>
    </w:p>
    <w:p>
      <w:pPr>
        <w:keepNext/>
        <w:spacing w:after="60"/>
      </w:pPr>
      <w:r>
        <w:rPr>
          <w:b/>
        </w:rPr>
        <w:t xml:space="preserve">Entries affected: </w:t>
      </w:r>
      <w:r>
        <w:rPr>
          <w:i w:val="0"/>
        </w:rPr>
        <w:t>8 listed; combined value ₹5,58,38,263</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1377"/>
        <w:gridCol w:w="1377"/>
        <w:gridCol w:w="1377"/>
        <w:gridCol w:w="1377"/>
        <w:gridCol w:w="1377"/>
        <w:gridCol w:w="1377"/>
        <w:gridCol w:w="1377"/>
      </w:tblGrid>
      <w:tr>
        <w:trPr>
          <w:cantSplit w:val="true"/>
          <w:tblHeader w:val="true"/>
        </w:trPr>
        <w:tc>
          <w:tcPr>
            <w:tcW w:type="dxa" w:w="1304"/>
            <w:shd w:val="clear" w:color="auto" w:fill="1F3A5F"/>
          </w:tcPr>
          <w:p>
            <w:pPr>
              <w:spacing w:after="0" w:before="0"/>
            </w:pPr>
            <w:r/>
            <w:r>
              <w:rPr>
                <w:b/>
                <w:i w:val="0"/>
                <w:color w:val="FFFFFF"/>
                <w:sz w:val="17"/>
              </w:rPr>
              <w:t>Entry ID</w:t>
            </w:r>
          </w:p>
        </w:tc>
        <w:tc>
          <w:tcPr>
            <w:tcW w:type="dxa" w:w="1247"/>
            <w:shd w:val="clear" w:color="auto" w:fill="1F3A5F"/>
          </w:tcPr>
          <w:p>
            <w:pPr>
              <w:spacing w:after="0" w:before="0"/>
            </w:pPr>
            <w:r/>
            <w:r>
              <w:rPr>
                <w:b/>
                <w:i w:val="0"/>
                <w:color w:val="FFFFFF"/>
                <w:sz w:val="17"/>
              </w:rPr>
              <w:t>Posted on</w:t>
            </w:r>
          </w:p>
        </w:tc>
        <w:tc>
          <w:tcPr>
            <w:tcW w:type="dxa" w:w="2324"/>
            <w:shd w:val="clear" w:color="auto" w:fill="1F3A5F"/>
          </w:tcPr>
          <w:p>
            <w:pPr>
              <w:spacing w:after="0" w:before="0"/>
            </w:pPr>
            <w:r/>
            <w:r>
              <w:rPr>
                <w:b/>
                <w:i w:val="0"/>
                <w:color w:val="FFFFFF"/>
                <w:sz w:val="17"/>
              </w:rPr>
              <w:t>Account</w:t>
            </w:r>
          </w:p>
        </w:tc>
        <w:tc>
          <w:tcPr>
            <w:tcW w:type="dxa" w:w="1701"/>
            <w:shd w:val="clear" w:color="auto" w:fill="1F3A5F"/>
          </w:tcPr>
          <w:p>
            <w:pPr>
              <w:spacing w:after="0" w:before="0"/>
              <w:jc w:val="right"/>
            </w:pPr>
            <w:r/>
            <w:r>
              <w:rPr>
                <w:b/>
                <w:i w:val="0"/>
                <w:color w:val="FFFFFF"/>
                <w:sz w:val="17"/>
              </w:rPr>
              <w:t>Amount</w:t>
            </w:r>
          </w:p>
        </w:tc>
        <w:tc>
          <w:tcPr>
            <w:tcW w:type="dxa" w:w="1247"/>
            <w:shd w:val="clear" w:color="auto" w:fill="1F3A5F"/>
          </w:tcPr>
          <w:p>
            <w:pPr>
              <w:spacing w:after="0" w:before="0"/>
            </w:pPr>
            <w:r/>
            <w:r>
              <w:rPr>
                <w:b/>
                <w:i w:val="0"/>
                <w:color w:val="FFFFFF"/>
                <w:sz w:val="17"/>
              </w:rPr>
              <w:t>Posted by</w:t>
            </w:r>
          </w:p>
        </w:tc>
        <w:tc>
          <w:tcPr>
            <w:tcW w:type="dxa" w:w="1247"/>
            <w:shd w:val="clear" w:color="auto" w:fill="1F3A5F"/>
          </w:tcPr>
          <w:p>
            <w:pPr>
              <w:spacing w:after="0" w:before="0"/>
            </w:pPr>
            <w:r/>
            <w:r>
              <w:rPr>
                <w:b/>
                <w:i w:val="0"/>
                <w:color w:val="FFFFFF"/>
                <w:sz w:val="17"/>
              </w:rPr>
              <w:t>Approved by</w:t>
            </w:r>
          </w:p>
        </w:tc>
        <w:tc>
          <w:tcPr>
            <w:tcW w:type="dxa" w:w="567"/>
            <w:shd w:val="clear" w:color="auto" w:fill="1F3A5F"/>
          </w:tcPr>
          <w:p>
            <w:pPr>
              <w:spacing w:after="0" w:before="0"/>
              <w:jc w:val="right"/>
            </w:pPr>
            <w:r/>
            <w:r>
              <w:rPr>
                <w:b/>
                <w:i w:val="0"/>
                <w:color w:val="FFFFFF"/>
                <w:sz w:val="17"/>
              </w:rPr>
              <w:t>Score</w:t>
            </w:r>
          </w:p>
        </w:tc>
      </w:tr>
      <w:tr>
        <w:trPr>
          <w:cantSplit w:val="true"/>
        </w:trPr>
        <w:tc>
          <w:tcPr>
            <w:tcW w:type="dxa" w:w="1304"/>
          </w:tcPr>
          <w:p>
            <w:pPr>
              <w:spacing w:after="0" w:before="0"/>
            </w:pPr>
            <w:r/>
            <w:r>
              <w:rPr>
                <w:b w:val="0"/>
                <w:i w:val="0"/>
                <w:sz w:val="17"/>
              </w:rPr>
              <w:t>JE-007576</w:t>
            </w:r>
          </w:p>
        </w:tc>
        <w:tc>
          <w:tcPr>
            <w:tcW w:type="dxa" w:w="1247"/>
          </w:tcPr>
          <w:p>
            <w:pPr>
              <w:spacing w:after="0" w:before="0"/>
            </w:pPr>
            <w:r/>
            <w:r>
              <w:rPr>
                <w:b w:val="0"/>
                <w:i w:val="0"/>
                <w:sz w:val="17"/>
              </w:rPr>
              <w:t>24-May-2025</w:t>
            </w:r>
          </w:p>
        </w:tc>
        <w:tc>
          <w:tcPr>
            <w:tcW w:type="dxa" w:w="2324"/>
          </w:tcPr>
          <w:p>
            <w:pPr>
              <w:spacing w:after="0" w:before="0"/>
            </w:pPr>
            <w:r/>
            <w:r>
              <w:rPr>
                <w:b w:val="0"/>
                <w:i w:val="0"/>
                <w:sz w:val="17"/>
              </w:rPr>
              <w:t>6010 Bank Charges</w:t>
            </w:r>
          </w:p>
        </w:tc>
        <w:tc>
          <w:tcPr>
            <w:tcW w:type="dxa" w:w="1701"/>
          </w:tcPr>
          <w:p>
            <w:pPr>
              <w:spacing w:after="0" w:before="0"/>
              <w:jc w:val="right"/>
            </w:pPr>
            <w:r/>
            <w:r>
              <w:rPr>
                <w:b w:val="0"/>
                <w:i w:val="0"/>
                <w:sz w:val="17"/>
              </w:rPr>
              <w:t>₹9,90,472</w:t>
            </w:r>
          </w:p>
        </w:tc>
        <w:tc>
          <w:tcPr>
            <w:tcW w:type="dxa" w:w="1247"/>
          </w:tcPr>
          <w:p>
            <w:pPr>
              <w:spacing w:after="0" w:before="0"/>
            </w:pPr>
            <w:r/>
            <w:r>
              <w:rPr>
                <w:b w:val="0"/>
                <w:i w:val="0"/>
                <w:sz w:val="17"/>
              </w:rPr>
              <w:t>USER_15</w:t>
            </w:r>
          </w:p>
        </w:tc>
        <w:tc>
          <w:tcPr>
            <w:tcW w:type="dxa" w:w="1247"/>
          </w:tcPr>
          <w:p>
            <w:pPr>
              <w:spacing w:after="0" w:before="0"/>
            </w:pPr>
            <w:r/>
            <w:r>
              <w:rPr>
                <w:b w:val="0"/>
                <w:i w:val="0"/>
                <w:sz w:val="17"/>
              </w:rPr>
              <w:t>(none)</w:t>
            </w:r>
          </w:p>
        </w:tc>
        <w:tc>
          <w:tcPr>
            <w:tcW w:type="dxa" w:w="567"/>
          </w:tcPr>
          <w:p>
            <w:pPr>
              <w:spacing w:after="0" w:before="0"/>
              <w:jc w:val="right"/>
            </w:pPr>
            <w:r/>
            <w:r>
              <w:rPr>
                <w:b w:val="0"/>
                <w:i w:val="0"/>
                <w:sz w:val="17"/>
              </w:rPr>
              <w:t>100</w:t>
            </w:r>
          </w:p>
        </w:tc>
      </w:tr>
      <w:tr>
        <w:trPr>
          <w:cantSplit w:val="true"/>
        </w:trPr>
        <w:tc>
          <w:tcPr>
            <w:tcW w:type="dxa" w:w="1304"/>
            <w:shd w:val="clear" w:color="auto" w:fill="F3F6FA"/>
          </w:tcPr>
          <w:p>
            <w:pPr>
              <w:spacing w:after="0" w:before="0"/>
            </w:pPr>
            <w:r/>
            <w:r>
              <w:rPr>
                <w:b w:val="0"/>
                <w:i w:val="0"/>
                <w:sz w:val="17"/>
              </w:rPr>
              <w:t>JE-043470</w:t>
            </w:r>
          </w:p>
        </w:tc>
        <w:tc>
          <w:tcPr>
            <w:tcW w:type="dxa" w:w="1247"/>
            <w:shd w:val="clear" w:color="auto" w:fill="F3F6FA"/>
          </w:tcPr>
          <w:p>
            <w:pPr>
              <w:spacing w:after="0" w:before="0"/>
            </w:pPr>
            <w:r/>
            <w:r>
              <w:rPr>
                <w:b w:val="0"/>
                <w:i w:val="0"/>
                <w:sz w:val="17"/>
              </w:rPr>
              <w:t>31-Jan-2026</w:t>
            </w:r>
          </w:p>
        </w:tc>
        <w:tc>
          <w:tcPr>
            <w:tcW w:type="dxa" w:w="2324"/>
            <w:shd w:val="clear" w:color="auto" w:fill="F3F6FA"/>
          </w:tcPr>
          <w:p>
            <w:pPr>
              <w:spacing w:after="0" w:before="0"/>
            </w:pPr>
            <w:r/>
            <w:r>
              <w:rPr>
                <w:b w:val="0"/>
                <w:i w:val="0"/>
                <w:sz w:val="17"/>
              </w:rPr>
              <w:t>2001 Trade Payables</w:t>
            </w:r>
          </w:p>
        </w:tc>
        <w:tc>
          <w:tcPr>
            <w:tcW w:type="dxa" w:w="1701"/>
            <w:shd w:val="clear" w:color="auto" w:fill="F3F6FA"/>
          </w:tcPr>
          <w:p>
            <w:pPr>
              <w:spacing w:after="0" w:before="0"/>
              <w:jc w:val="right"/>
            </w:pPr>
            <w:r/>
            <w:r>
              <w:rPr>
                <w:b w:val="0"/>
                <w:i w:val="0"/>
                <w:sz w:val="17"/>
              </w:rPr>
              <w:t>₹9,84,323</w:t>
            </w:r>
          </w:p>
        </w:tc>
        <w:tc>
          <w:tcPr>
            <w:tcW w:type="dxa" w:w="1247"/>
            <w:shd w:val="clear" w:color="auto" w:fill="F3F6FA"/>
          </w:tcPr>
          <w:p>
            <w:pPr>
              <w:spacing w:after="0" w:before="0"/>
            </w:pPr>
            <w:r/>
            <w:r>
              <w:rPr>
                <w:b w:val="0"/>
                <w:i w:val="0"/>
                <w:sz w:val="17"/>
              </w:rPr>
              <w:t>USER_05</w:t>
            </w:r>
          </w:p>
        </w:tc>
        <w:tc>
          <w:tcPr>
            <w:tcW w:type="dxa" w:w="1247"/>
            <w:shd w:val="clear" w:color="auto" w:fill="F3F6FA"/>
          </w:tcPr>
          <w:p>
            <w:pPr>
              <w:spacing w:after="0" w:before="0"/>
            </w:pPr>
            <w:r/>
            <w:r>
              <w:rPr>
                <w:b w:val="0"/>
                <w:i w:val="0"/>
                <w:sz w:val="17"/>
              </w:rPr>
              <w:t>(none)</w:t>
            </w:r>
          </w:p>
        </w:tc>
        <w:tc>
          <w:tcPr>
            <w:tcW w:type="dxa" w:w="567"/>
            <w:shd w:val="clear" w:color="auto" w:fill="F3F6FA"/>
          </w:tcPr>
          <w:p>
            <w:pPr>
              <w:spacing w:after="0" w:before="0"/>
              <w:jc w:val="right"/>
            </w:pPr>
            <w:r/>
            <w:r>
              <w:rPr>
                <w:b w:val="0"/>
                <w:i w:val="0"/>
                <w:sz w:val="17"/>
              </w:rPr>
              <w:t>89</w:t>
            </w:r>
          </w:p>
        </w:tc>
      </w:tr>
      <w:tr>
        <w:trPr>
          <w:cantSplit w:val="true"/>
        </w:trPr>
        <w:tc>
          <w:tcPr>
            <w:tcW w:type="dxa" w:w="1304"/>
          </w:tcPr>
          <w:p>
            <w:pPr>
              <w:spacing w:after="0" w:before="0"/>
            </w:pPr>
            <w:r/>
            <w:r>
              <w:rPr>
                <w:b w:val="0"/>
                <w:i w:val="0"/>
                <w:sz w:val="17"/>
              </w:rPr>
              <w:t>JE-021647</w:t>
            </w:r>
          </w:p>
        </w:tc>
        <w:tc>
          <w:tcPr>
            <w:tcW w:type="dxa" w:w="1247"/>
          </w:tcPr>
          <w:p>
            <w:pPr>
              <w:spacing w:after="0" w:before="0"/>
            </w:pPr>
            <w:r/>
            <w:r>
              <w:rPr>
                <w:b w:val="0"/>
                <w:i w:val="0"/>
                <w:sz w:val="17"/>
              </w:rPr>
              <w:t>31-Aug-2025</w:t>
            </w:r>
          </w:p>
        </w:tc>
        <w:tc>
          <w:tcPr>
            <w:tcW w:type="dxa" w:w="2324"/>
          </w:tcPr>
          <w:p>
            <w:pPr>
              <w:spacing w:after="0" w:before="0"/>
            </w:pPr>
            <w:r/>
            <w:r>
              <w:rPr>
                <w:b w:val="0"/>
                <w:i w:val="0"/>
                <w:sz w:val="17"/>
              </w:rPr>
              <w:t>1001 Cash at Bank</w:t>
            </w:r>
          </w:p>
        </w:tc>
        <w:tc>
          <w:tcPr>
            <w:tcW w:type="dxa" w:w="1701"/>
          </w:tcPr>
          <w:p>
            <w:pPr>
              <w:spacing w:after="0" w:before="0"/>
              <w:jc w:val="right"/>
            </w:pPr>
            <w:r/>
            <w:r>
              <w:rPr>
                <w:b w:val="0"/>
                <w:i w:val="0"/>
                <w:sz w:val="17"/>
              </w:rPr>
              <w:t>₹9,80,249</w:t>
            </w:r>
          </w:p>
        </w:tc>
        <w:tc>
          <w:tcPr>
            <w:tcW w:type="dxa" w:w="1247"/>
          </w:tcPr>
          <w:p>
            <w:pPr>
              <w:spacing w:after="0" w:before="0"/>
            </w:pPr>
            <w:r/>
            <w:r>
              <w:rPr>
                <w:b w:val="0"/>
                <w:i w:val="0"/>
                <w:sz w:val="17"/>
              </w:rPr>
              <w:t>USER_16</w:t>
            </w:r>
          </w:p>
        </w:tc>
        <w:tc>
          <w:tcPr>
            <w:tcW w:type="dxa" w:w="1247"/>
          </w:tcPr>
          <w:p>
            <w:pPr>
              <w:spacing w:after="0" w:before="0"/>
            </w:pPr>
            <w:r/>
            <w:r>
              <w:rPr>
                <w:b w:val="0"/>
                <w:i w:val="0"/>
                <w:sz w:val="17"/>
              </w:rPr>
              <w:t>(none)</w:t>
            </w:r>
          </w:p>
        </w:tc>
        <w:tc>
          <w:tcPr>
            <w:tcW w:type="dxa" w:w="567"/>
          </w:tcPr>
          <w:p>
            <w:pPr>
              <w:spacing w:after="0" w:before="0"/>
              <w:jc w:val="right"/>
            </w:pPr>
            <w:r/>
            <w:r>
              <w:rPr>
                <w:b w:val="0"/>
                <w:i w:val="0"/>
                <w:sz w:val="17"/>
              </w:rPr>
              <w:t>89</w:t>
            </w:r>
          </w:p>
        </w:tc>
      </w:tr>
      <w:tr>
        <w:trPr>
          <w:cantSplit w:val="true"/>
        </w:trPr>
        <w:tc>
          <w:tcPr>
            <w:tcW w:type="dxa" w:w="1304"/>
            <w:shd w:val="clear" w:color="auto" w:fill="F3F6FA"/>
          </w:tcPr>
          <w:p>
            <w:pPr>
              <w:spacing w:after="0" w:before="0"/>
            </w:pPr>
            <w:r/>
            <w:r>
              <w:rPr>
                <w:b w:val="0"/>
                <w:i w:val="0"/>
                <w:sz w:val="17"/>
              </w:rPr>
              <w:t>JE-021627</w:t>
            </w:r>
          </w:p>
        </w:tc>
        <w:tc>
          <w:tcPr>
            <w:tcW w:type="dxa" w:w="1247"/>
            <w:shd w:val="clear" w:color="auto" w:fill="F3F6FA"/>
          </w:tcPr>
          <w:p>
            <w:pPr>
              <w:spacing w:after="0" w:before="0"/>
            </w:pPr>
            <w:r/>
            <w:r>
              <w:rPr>
                <w:b w:val="0"/>
                <w:i w:val="0"/>
                <w:sz w:val="17"/>
              </w:rPr>
              <w:t>30-Aug-2025</w:t>
            </w:r>
          </w:p>
        </w:tc>
        <w:tc>
          <w:tcPr>
            <w:tcW w:type="dxa" w:w="2324"/>
            <w:shd w:val="clear" w:color="auto" w:fill="F3F6FA"/>
          </w:tcPr>
          <w:p>
            <w:pPr>
              <w:spacing w:after="0" w:before="0"/>
            </w:pPr>
            <w:r/>
            <w:r>
              <w:rPr>
                <w:b w:val="0"/>
                <w:i w:val="0"/>
                <w:sz w:val="17"/>
              </w:rPr>
              <w:t>6006 Office Expenses</w:t>
            </w:r>
          </w:p>
        </w:tc>
        <w:tc>
          <w:tcPr>
            <w:tcW w:type="dxa" w:w="1701"/>
            <w:shd w:val="clear" w:color="auto" w:fill="F3F6FA"/>
          </w:tcPr>
          <w:p>
            <w:pPr>
              <w:spacing w:after="0" w:before="0"/>
              <w:jc w:val="right"/>
            </w:pPr>
            <w:r/>
            <w:r>
              <w:rPr>
                <w:b w:val="0"/>
                <w:i w:val="0"/>
                <w:sz w:val="17"/>
              </w:rPr>
              <w:t>₹9,72,112</w:t>
            </w:r>
          </w:p>
        </w:tc>
        <w:tc>
          <w:tcPr>
            <w:tcW w:type="dxa" w:w="1247"/>
            <w:shd w:val="clear" w:color="auto" w:fill="F3F6FA"/>
          </w:tcPr>
          <w:p>
            <w:pPr>
              <w:spacing w:after="0" w:before="0"/>
            </w:pPr>
            <w:r/>
            <w:r>
              <w:rPr>
                <w:b w:val="0"/>
                <w:i w:val="0"/>
                <w:sz w:val="17"/>
              </w:rPr>
              <w:t>USER_07</w:t>
            </w:r>
          </w:p>
        </w:tc>
        <w:tc>
          <w:tcPr>
            <w:tcW w:type="dxa" w:w="1247"/>
            <w:shd w:val="clear" w:color="auto" w:fill="F3F6FA"/>
          </w:tcPr>
          <w:p>
            <w:pPr>
              <w:spacing w:after="0" w:before="0"/>
            </w:pPr>
            <w:r/>
            <w:r>
              <w:rPr>
                <w:b w:val="0"/>
                <w:i w:val="0"/>
                <w:sz w:val="17"/>
              </w:rPr>
              <w:t>(none)</w:t>
            </w:r>
          </w:p>
        </w:tc>
        <w:tc>
          <w:tcPr>
            <w:tcW w:type="dxa" w:w="567"/>
            <w:shd w:val="clear" w:color="auto" w:fill="F3F6FA"/>
          </w:tcPr>
          <w:p>
            <w:pPr>
              <w:spacing w:after="0" w:before="0"/>
              <w:jc w:val="right"/>
            </w:pPr>
            <w:r/>
            <w:r>
              <w:rPr>
                <w:b w:val="0"/>
                <w:i w:val="0"/>
                <w:sz w:val="17"/>
              </w:rPr>
              <w:t>89</w:t>
            </w:r>
          </w:p>
        </w:tc>
      </w:tr>
      <w:tr>
        <w:trPr>
          <w:cantSplit w:val="true"/>
        </w:trPr>
        <w:tc>
          <w:tcPr>
            <w:tcW w:type="dxa" w:w="1304"/>
          </w:tcPr>
          <w:p>
            <w:pPr>
              <w:spacing w:after="0" w:before="0"/>
            </w:pPr>
            <w:r/>
            <w:r>
              <w:rPr>
                <w:b w:val="0"/>
                <w:i w:val="0"/>
                <w:sz w:val="17"/>
              </w:rPr>
              <w:t>JE-012982</w:t>
            </w:r>
          </w:p>
        </w:tc>
        <w:tc>
          <w:tcPr>
            <w:tcW w:type="dxa" w:w="1247"/>
          </w:tcPr>
          <w:p>
            <w:pPr>
              <w:spacing w:after="0" w:before="0"/>
            </w:pPr>
            <w:r/>
            <w:r>
              <w:rPr>
                <w:b w:val="0"/>
                <w:i w:val="0"/>
                <w:sz w:val="17"/>
              </w:rPr>
              <w:t>29-Jun-2025</w:t>
            </w:r>
          </w:p>
        </w:tc>
        <w:tc>
          <w:tcPr>
            <w:tcW w:type="dxa" w:w="2324"/>
          </w:tcPr>
          <w:p>
            <w:pPr>
              <w:spacing w:after="0" w:before="0"/>
            </w:pPr>
            <w:r/>
            <w:r>
              <w:rPr>
                <w:b w:val="0"/>
                <w:i w:val="0"/>
                <w:sz w:val="17"/>
              </w:rPr>
              <w:t>6004 Travel &amp; Conveyance</w:t>
            </w:r>
          </w:p>
        </w:tc>
        <w:tc>
          <w:tcPr>
            <w:tcW w:type="dxa" w:w="1701"/>
          </w:tcPr>
          <w:p>
            <w:pPr>
              <w:spacing w:after="0" w:before="0"/>
              <w:jc w:val="right"/>
            </w:pPr>
            <w:r/>
            <w:r>
              <w:rPr>
                <w:b w:val="0"/>
                <w:i w:val="0"/>
                <w:sz w:val="17"/>
              </w:rPr>
              <w:t>₹9,63,134</w:t>
            </w:r>
          </w:p>
        </w:tc>
        <w:tc>
          <w:tcPr>
            <w:tcW w:type="dxa" w:w="1247"/>
          </w:tcPr>
          <w:p>
            <w:pPr>
              <w:spacing w:after="0" w:before="0"/>
            </w:pPr>
            <w:r/>
            <w:r>
              <w:rPr>
                <w:b w:val="0"/>
                <w:i w:val="0"/>
                <w:sz w:val="17"/>
              </w:rPr>
              <w:t>USER_08</w:t>
            </w:r>
          </w:p>
        </w:tc>
        <w:tc>
          <w:tcPr>
            <w:tcW w:type="dxa" w:w="1247"/>
          </w:tcPr>
          <w:p>
            <w:pPr>
              <w:spacing w:after="0" w:before="0"/>
            </w:pPr>
            <w:r/>
            <w:r>
              <w:rPr>
                <w:b w:val="0"/>
                <w:i w:val="0"/>
                <w:sz w:val="17"/>
              </w:rPr>
              <w:t>(none)</w:t>
            </w:r>
          </w:p>
        </w:tc>
        <w:tc>
          <w:tcPr>
            <w:tcW w:type="dxa" w:w="567"/>
          </w:tcPr>
          <w:p>
            <w:pPr>
              <w:spacing w:after="0" w:before="0"/>
              <w:jc w:val="right"/>
            </w:pPr>
            <w:r/>
            <w:r>
              <w:rPr>
                <w:b w:val="0"/>
                <w:i w:val="0"/>
                <w:sz w:val="17"/>
              </w:rPr>
              <w:t>89</w:t>
            </w:r>
          </w:p>
        </w:tc>
      </w:tr>
      <w:tr>
        <w:trPr>
          <w:cantSplit w:val="true"/>
        </w:trPr>
        <w:tc>
          <w:tcPr>
            <w:tcW w:type="dxa" w:w="1304"/>
            <w:shd w:val="clear" w:color="auto" w:fill="F3F6FA"/>
          </w:tcPr>
          <w:p>
            <w:pPr>
              <w:spacing w:after="0" w:before="0"/>
            </w:pPr>
            <w:r/>
            <w:r>
              <w:rPr>
                <w:b w:val="0"/>
                <w:i w:val="0"/>
                <w:sz w:val="17"/>
              </w:rPr>
              <w:t>JE-022735</w:t>
            </w:r>
          </w:p>
        </w:tc>
        <w:tc>
          <w:tcPr>
            <w:tcW w:type="dxa" w:w="1247"/>
            <w:shd w:val="clear" w:color="auto" w:fill="F3F6FA"/>
          </w:tcPr>
          <w:p>
            <w:pPr>
              <w:spacing w:after="0" w:before="0"/>
            </w:pPr>
            <w:r/>
            <w:r>
              <w:rPr>
                <w:b w:val="0"/>
                <w:i w:val="0"/>
                <w:sz w:val="17"/>
              </w:rPr>
              <w:t>07-Sep-2025</w:t>
            </w:r>
          </w:p>
        </w:tc>
        <w:tc>
          <w:tcPr>
            <w:tcW w:type="dxa" w:w="2324"/>
            <w:shd w:val="clear" w:color="auto" w:fill="F3F6FA"/>
          </w:tcPr>
          <w:p>
            <w:pPr>
              <w:spacing w:after="0" w:before="0"/>
            </w:pPr>
            <w:r/>
            <w:r>
              <w:rPr>
                <w:b w:val="0"/>
                <w:i w:val="0"/>
                <w:sz w:val="17"/>
              </w:rPr>
              <w:t>6011 Commission</w:t>
            </w:r>
          </w:p>
        </w:tc>
        <w:tc>
          <w:tcPr>
            <w:tcW w:type="dxa" w:w="1701"/>
            <w:shd w:val="clear" w:color="auto" w:fill="F3F6FA"/>
          </w:tcPr>
          <w:p>
            <w:pPr>
              <w:spacing w:after="0" w:before="0"/>
              <w:jc w:val="right"/>
            </w:pPr>
            <w:r/>
            <w:r>
              <w:rPr>
                <w:b w:val="0"/>
                <w:i w:val="0"/>
                <w:sz w:val="17"/>
              </w:rPr>
              <w:t>₹9,86,770</w:t>
            </w:r>
          </w:p>
        </w:tc>
        <w:tc>
          <w:tcPr>
            <w:tcW w:type="dxa" w:w="1247"/>
            <w:shd w:val="clear" w:color="auto" w:fill="F3F6FA"/>
          </w:tcPr>
          <w:p>
            <w:pPr>
              <w:spacing w:after="0" w:before="0"/>
            </w:pPr>
            <w:r/>
            <w:r>
              <w:rPr>
                <w:b w:val="0"/>
                <w:i w:val="0"/>
                <w:sz w:val="17"/>
              </w:rPr>
              <w:t>USER_10</w:t>
            </w:r>
          </w:p>
        </w:tc>
        <w:tc>
          <w:tcPr>
            <w:tcW w:type="dxa" w:w="1247"/>
            <w:shd w:val="clear" w:color="auto" w:fill="F3F6FA"/>
          </w:tcPr>
          <w:p>
            <w:pPr>
              <w:spacing w:after="0" w:before="0"/>
            </w:pPr>
            <w:r/>
            <w:r>
              <w:rPr>
                <w:b w:val="0"/>
                <w:i w:val="0"/>
                <w:sz w:val="17"/>
              </w:rPr>
              <w:t>(none)</w:t>
            </w:r>
          </w:p>
        </w:tc>
        <w:tc>
          <w:tcPr>
            <w:tcW w:type="dxa" w:w="567"/>
            <w:shd w:val="clear" w:color="auto" w:fill="F3F6FA"/>
          </w:tcPr>
          <w:p>
            <w:pPr>
              <w:spacing w:after="0" w:before="0"/>
              <w:jc w:val="right"/>
            </w:pPr>
            <w:r/>
            <w:r>
              <w:rPr>
                <w:b w:val="0"/>
                <w:i w:val="0"/>
                <w:sz w:val="17"/>
              </w:rPr>
              <w:t>87</w:t>
            </w:r>
          </w:p>
        </w:tc>
      </w:tr>
      <w:tr>
        <w:trPr>
          <w:cantSplit w:val="true"/>
        </w:trPr>
        <w:tc>
          <w:tcPr>
            <w:tcW w:type="dxa" w:w="1304"/>
          </w:tcPr>
          <w:p>
            <w:pPr>
              <w:spacing w:after="0" w:before="0"/>
            </w:pPr>
            <w:r/>
            <w:r>
              <w:rPr>
                <w:b w:val="0"/>
                <w:i w:val="0"/>
                <w:sz w:val="17"/>
              </w:rPr>
              <w:t>JE-042732</w:t>
            </w:r>
          </w:p>
        </w:tc>
        <w:tc>
          <w:tcPr>
            <w:tcW w:type="dxa" w:w="1247"/>
          </w:tcPr>
          <w:p>
            <w:pPr>
              <w:spacing w:after="0" w:before="0"/>
            </w:pPr>
            <w:r/>
            <w:r>
              <w:rPr>
                <w:b w:val="0"/>
                <w:i w:val="0"/>
                <w:sz w:val="17"/>
              </w:rPr>
              <w:t>26-Jan-2026</w:t>
            </w:r>
          </w:p>
        </w:tc>
        <w:tc>
          <w:tcPr>
            <w:tcW w:type="dxa" w:w="2324"/>
          </w:tcPr>
          <w:p>
            <w:pPr>
              <w:spacing w:after="0" w:before="0"/>
            </w:pPr>
            <w:r/>
            <w:r>
              <w:rPr>
                <w:b w:val="0"/>
                <w:i w:val="0"/>
                <w:sz w:val="17"/>
              </w:rPr>
              <w:t>6007 Advertising</w:t>
            </w:r>
          </w:p>
        </w:tc>
        <w:tc>
          <w:tcPr>
            <w:tcW w:type="dxa" w:w="1701"/>
          </w:tcPr>
          <w:p>
            <w:pPr>
              <w:spacing w:after="0" w:before="0"/>
              <w:jc w:val="right"/>
            </w:pPr>
            <w:r/>
            <w:r>
              <w:rPr>
                <w:b w:val="0"/>
                <w:i w:val="0"/>
                <w:sz w:val="17"/>
              </w:rPr>
              <w:t>₹9,80,840</w:t>
            </w:r>
          </w:p>
        </w:tc>
        <w:tc>
          <w:tcPr>
            <w:tcW w:type="dxa" w:w="1247"/>
          </w:tcPr>
          <w:p>
            <w:pPr>
              <w:spacing w:after="0" w:before="0"/>
            </w:pPr>
            <w:r/>
            <w:r>
              <w:rPr>
                <w:b w:val="0"/>
                <w:i w:val="0"/>
                <w:sz w:val="17"/>
              </w:rPr>
              <w:t>USER_08</w:t>
            </w:r>
          </w:p>
        </w:tc>
        <w:tc>
          <w:tcPr>
            <w:tcW w:type="dxa" w:w="1247"/>
          </w:tcPr>
          <w:p>
            <w:pPr>
              <w:spacing w:after="0" w:before="0"/>
            </w:pPr>
            <w:r/>
            <w:r>
              <w:rPr>
                <w:b w:val="0"/>
                <w:i w:val="0"/>
                <w:sz w:val="17"/>
              </w:rPr>
              <w:t>(none)</w:t>
            </w:r>
          </w:p>
        </w:tc>
        <w:tc>
          <w:tcPr>
            <w:tcW w:type="dxa" w:w="567"/>
          </w:tcPr>
          <w:p>
            <w:pPr>
              <w:spacing w:after="0" w:before="0"/>
              <w:jc w:val="right"/>
            </w:pPr>
            <w:r/>
            <w:r>
              <w:rPr>
                <w:b w:val="0"/>
                <w:i w:val="0"/>
                <w:sz w:val="17"/>
              </w:rPr>
              <w:t>87</w:t>
            </w:r>
          </w:p>
        </w:tc>
      </w:tr>
      <w:tr>
        <w:trPr>
          <w:cantSplit w:val="true"/>
        </w:trPr>
        <w:tc>
          <w:tcPr>
            <w:tcW w:type="dxa" w:w="1304"/>
            <w:shd w:val="clear" w:color="auto" w:fill="F3F6FA"/>
          </w:tcPr>
          <w:p>
            <w:pPr>
              <w:spacing w:after="0" w:before="0"/>
            </w:pPr>
            <w:r/>
            <w:r>
              <w:rPr>
                <w:b w:val="0"/>
                <w:i w:val="0"/>
                <w:sz w:val="17"/>
              </w:rPr>
              <w:t>JE-008182</w:t>
            </w:r>
          </w:p>
        </w:tc>
        <w:tc>
          <w:tcPr>
            <w:tcW w:type="dxa" w:w="1247"/>
            <w:shd w:val="clear" w:color="auto" w:fill="F3F6FA"/>
          </w:tcPr>
          <w:p>
            <w:pPr>
              <w:spacing w:after="0" w:before="0"/>
            </w:pPr>
            <w:r/>
            <w:r>
              <w:rPr>
                <w:b w:val="0"/>
                <w:i w:val="0"/>
                <w:sz w:val="17"/>
              </w:rPr>
              <w:t>28-May-2025</w:t>
            </w:r>
          </w:p>
        </w:tc>
        <w:tc>
          <w:tcPr>
            <w:tcW w:type="dxa" w:w="2324"/>
            <w:shd w:val="clear" w:color="auto" w:fill="F3F6FA"/>
          </w:tcPr>
          <w:p>
            <w:pPr>
              <w:spacing w:after="0" w:before="0"/>
            </w:pPr>
            <w:r/>
            <w:r>
              <w:rPr>
                <w:b w:val="0"/>
                <w:i w:val="0"/>
                <w:sz w:val="17"/>
              </w:rPr>
              <w:t>4001 Sales - Domestic</w:t>
            </w:r>
          </w:p>
        </w:tc>
        <w:tc>
          <w:tcPr>
            <w:tcW w:type="dxa" w:w="1701"/>
            <w:shd w:val="clear" w:color="auto" w:fill="F3F6FA"/>
          </w:tcPr>
          <w:p>
            <w:pPr>
              <w:spacing w:after="0" w:before="0"/>
              <w:jc w:val="right"/>
            </w:pPr>
            <w:r/>
            <w:r>
              <w:rPr>
                <w:b w:val="0"/>
                <w:i w:val="0"/>
                <w:sz w:val="17"/>
              </w:rPr>
              <w:t>₹4,89,80,364</w:t>
            </w:r>
          </w:p>
        </w:tc>
        <w:tc>
          <w:tcPr>
            <w:tcW w:type="dxa" w:w="1247"/>
            <w:shd w:val="clear" w:color="auto" w:fill="F3F6FA"/>
          </w:tcPr>
          <w:p>
            <w:pPr>
              <w:spacing w:after="0" w:before="0"/>
            </w:pPr>
            <w:r/>
            <w:r>
              <w:rPr>
                <w:b w:val="0"/>
                <w:i w:val="0"/>
                <w:sz w:val="17"/>
              </w:rPr>
              <w:t>USER_24</w:t>
            </w:r>
          </w:p>
        </w:tc>
        <w:tc>
          <w:tcPr>
            <w:tcW w:type="dxa" w:w="1247"/>
            <w:shd w:val="clear" w:color="auto" w:fill="F3F6FA"/>
          </w:tcPr>
          <w:p>
            <w:pPr>
              <w:spacing w:after="0" w:before="0"/>
            </w:pPr>
            <w:r/>
            <w:r>
              <w:rPr>
                <w:b w:val="0"/>
                <w:i w:val="0"/>
                <w:sz w:val="17"/>
              </w:rPr>
              <w:t>USER_24</w:t>
            </w:r>
          </w:p>
        </w:tc>
        <w:tc>
          <w:tcPr>
            <w:tcW w:type="dxa" w:w="567"/>
            <w:shd w:val="clear" w:color="auto" w:fill="F3F6FA"/>
          </w:tcPr>
          <w:p>
            <w:pPr>
              <w:spacing w:after="0" w:before="0"/>
              <w:jc w:val="right"/>
            </w:pPr>
            <w:r/>
            <w:r>
              <w:rPr>
                <w:b w:val="0"/>
                <w:i w:val="0"/>
                <w:sz w:val="17"/>
              </w:rPr>
              <w:t>80</w:t>
            </w:r>
          </w:p>
        </w:tc>
      </w:tr>
    </w:tbl>
    <w:p>
      <w:pPr>
        <w:spacing w:after="40"/>
      </w:pPr>
      <w:r>
        <w:rPr>
          <w:i w:val="0"/>
        </w:rPr>
      </w:r>
    </w:p>
    <w:p>
      <w:r>
        <w:rPr>
          <w:b/>
        </w:rPr>
        <w:t xml:space="preserve">Risk / implication: </w:t>
      </w:r>
      <w:r>
        <w:rPr>
          <w:i w:val="0"/>
        </w:rPr>
        <w:t>Unauthorised overrides bypass the approval hierarchy, exposing the entity to manipulation of financial results and potential fraud, which is relevant to ICAI SA 240, SA 315 and SA 330, and Companies Act 2013 Sec. 143(3)(i).</w:t>
      </w:r>
    </w:p>
    <w:p>
      <w:pPr>
        <w:keepNext/>
        <w:spacing w:after="40"/>
      </w:pPr>
      <w:r>
        <w:rPr>
          <w:b/>
        </w:rPr>
        <w:t xml:space="preserve">Recommendation: </w:t>
      </w:r>
      <w:r>
        <w:rPr>
          <w:i w:val="0"/>
        </w:rPr>
      </w:r>
    </w:p>
    <w:p>
      <w:pPr>
        <w:pStyle w:val="ListBullet"/>
        <w:spacing w:after="40"/>
      </w:pPr>
      <w:r>
        <w:t>Enforce mandatory independent approval for all override transactions.</w:t>
      </w:r>
    </w:p>
    <w:p>
      <w:pPr>
        <w:pStyle w:val="ListBullet"/>
        <w:spacing w:after="40"/>
      </w:pPr>
      <w:r>
        <w:t>Configure the system to reject overrides without a designated approver.</w:t>
      </w:r>
    </w:p>
    <w:p>
      <w:pPr>
        <w:pStyle w:val="ListBullet"/>
        <w:spacing w:after="40"/>
      </w:pPr>
      <w:r>
        <w:t>Implement periodic monitoring of override usage and flag any without approval.</w:t>
      </w:r>
    </w:p>
    <w:p>
      <w:pPr>
        <w:pStyle w:val="ListBullet"/>
        <w:spacing w:after="40"/>
      </w:pPr>
      <w:r>
        <w:t>Provide training to users on approval requirements and consequences of non-compliance.</w:t>
      </w:r>
    </w:p>
    <w:tbl>
      <w:tblPr>
        <w:tblW w:type="auto" w:w="0"/>
        <w:jc w:val="center"/>
        <w:tblLook w:firstColumn="1" w:firstRow="1" w:lastColumn="0" w:lastRow="0" w:noHBand="0" w:noVBand="1" w:val="04A0"/>
        <w:tblBorders>
          <w:top w:val="single" w:sz="4" w:space="0" w:color="E0B84C"/>
          <w:left w:val="single" w:sz="4" w:space="0" w:color="E0B84C"/>
          <w:bottom w:val="single" w:sz="4" w:space="0" w:color="E0B84C"/>
          <w:right w:val="single" w:sz="4" w:space="0" w:color="E0B84C"/>
          <w:insideH w:val="single" w:sz="4" w:space="0" w:color="E0B84C"/>
          <w:insideV w:val="single" w:sz="4" w:space="0" w:color="E0B84C"/>
        </w:tblBorders>
        <w:tblCellMar>
          <w:top w:w="60" w:type="dxa"/>
          <w:left w:w="100" w:type="dxa"/>
          <w:bottom w:w="60" w:type="dxa"/>
          <w:right w:w="100" w:type="dxa"/>
        </w:tblCellMar>
      </w:tblPr>
      <w:tblGrid>
        <w:gridCol w:w="9638"/>
      </w:tblGrid>
      <w:tr>
        <w:trPr>
          <w:cantSplit w:val="true"/>
        </w:trPr>
        <w:tc>
          <w:tcPr>
            <w:tcW w:type="dxa" w:w="9638"/>
            <w:shd w:val="clear" w:color="auto" w:fill="FFF8E1"/>
          </w:tcPr>
          <w:p>
            <w:pPr>
              <w:spacing w:after="40"/>
            </w:pPr>
            <w:r/>
            <w:r>
              <w:rPr>
                <w:b/>
                <w:sz w:val="19"/>
              </w:rPr>
              <w:t xml:space="preserve">Management response: </w:t>
            </w:r>
            <w:r>
              <w:rPr>
                <w:i/>
                <w:sz w:val="19"/>
              </w:rPr>
              <w:t>[To be completed by management]</w:t>
            </w:r>
          </w:p>
          <w:p>
            <w:pPr>
              <w:spacing w:after="0"/>
            </w:pPr>
            <w:r>
              <w:rPr>
                <w:sz w:val="19"/>
              </w:rPr>
              <w:t>Responsible person: ____________________      Target date: ____________</w:t>
            </w:r>
          </w:p>
        </w:tc>
      </w:tr>
    </w:tbl>
    <w:p>
      <w:pPr>
        <w:spacing w:after="80"/>
      </w:pPr>
      <w:r>
        <w:rPr>
          <w:i w:val="0"/>
        </w:rPr>
      </w:r>
    </w:p>
    <w:p>
      <w:pPr>
        <w:pStyle w:val="Heading2"/>
      </w:pPr>
      <w:r>
        <w:t>Observation 2: Weekend and after-hours postings near approval threshold</w:t>
      </w:r>
    </w:p>
    <w:p>
      <w:pPr>
        <w:keepNext/>
        <w:spacing w:after="80"/>
      </w:pPr>
      <w:r>
        <w:rPr>
          <w:b/>
        </w:rPr>
        <w:t xml:space="preserve">Priority: </w:t>
      </w:r>
      <w:r>
        <w:rPr>
          <w:b/>
          <w:i w:val="0"/>
          <w:color w:val="C00000"/>
        </w:rPr>
        <w:t>High</w:t>
      </w:r>
    </w:p>
    <w:p>
      <w:pPr>
        <w:keepNext/>
      </w:pPr>
      <w:r>
        <w:rPr>
          <w:b/>
        </w:rPr>
        <w:t xml:space="preserve">Observation: </w:t>
      </w:r>
      <w:r>
        <w:rPr>
          <w:i w:val="0"/>
        </w:rPr>
        <w:t>Seven entries were posted on weekends or outside normal business hours (22:00-05:00) and each amount is just under the ₹10,00,000 approval limit. These postings were manual and lacked an approver, increasing the likelihood of concealed irregularities.</w:t>
      </w:r>
    </w:p>
    <w:p>
      <w:pPr>
        <w:keepNext/>
      </w:pPr>
      <w:r>
        <w:rPr>
          <w:b/>
        </w:rPr>
        <w:t xml:space="preserve">Ledger-wide result: </w:t>
      </w:r>
      <w:r>
        <w:rPr>
          <w:i w:val="0"/>
        </w:rPr>
        <w:t>475 entries across the whole ledger (value ₹26,82,82,123) triggered: Weekend / holiday posting; After-hours posting; Just below approval threshold.</w:t>
      </w:r>
    </w:p>
    <w:p>
      <w:r>
        <w:rPr>
          <w:b/>
          <w:sz w:val="19"/>
        </w:rPr>
        <w:t xml:space="preserve">Also relevant: </w:t>
      </w:r>
      <w:r>
        <w:rPr>
          <w:i w:val="0"/>
          <w:sz w:val="19"/>
        </w:rPr>
        <w:t>JE-007576 (see Observation 1); JE-043470 (see Observation 1); JE-021647 (see Observation 1); JE-021627 (see Observation 1); JE-012982 (see Observation 1); JE-022735 (see Observation 1); JE-042732 (see Observation 1)</w:t>
      </w:r>
    </w:p>
    <w:p>
      <w:r>
        <w:rPr>
          <w:b/>
        </w:rPr>
        <w:t xml:space="preserve">Risk / implication: </w:t>
      </w:r>
      <w:r>
        <w:rPr>
          <w:i w:val="0"/>
        </w:rPr>
        <w:t>Posting transactions during off-hours without supervision reduces the effectiveness of control monitoring and may facilitate fraudulent activity, relevant to ICAI SA 240, SA 315 and SA 330.</w:t>
      </w:r>
    </w:p>
    <w:p>
      <w:pPr>
        <w:keepNext/>
        <w:spacing w:after="40"/>
      </w:pPr>
      <w:r>
        <w:rPr>
          <w:b/>
        </w:rPr>
        <w:t xml:space="preserve">Recommendation: </w:t>
      </w:r>
      <w:r>
        <w:rPr>
          <w:i w:val="0"/>
        </w:rPr>
      </w:r>
    </w:p>
    <w:p>
      <w:pPr>
        <w:pStyle w:val="ListBullet"/>
        <w:spacing w:after="40"/>
      </w:pPr>
      <w:r>
        <w:t>Restrict weekend and after-hours journal entry creation to authorised users only.</w:t>
      </w:r>
    </w:p>
    <w:p>
      <w:pPr>
        <w:pStyle w:val="ListBullet"/>
        <w:spacing w:after="40"/>
      </w:pPr>
      <w:r>
        <w:t>Require dual-approval for any entry posted outside normal business hours.</w:t>
      </w:r>
    </w:p>
    <w:p>
      <w:pPr>
        <w:pStyle w:val="ListBullet"/>
        <w:spacing w:after="40"/>
      </w:pPr>
      <w:r>
        <w:t>Introduce automated alerts for entries posted on non-working days that are near the approval limit.</w:t>
      </w:r>
    </w:p>
    <w:tbl>
      <w:tblPr>
        <w:tblW w:type="auto" w:w="0"/>
        <w:jc w:val="center"/>
        <w:tblLook w:firstColumn="1" w:firstRow="1" w:lastColumn="0" w:lastRow="0" w:noHBand="0" w:noVBand="1" w:val="04A0"/>
        <w:tblBorders>
          <w:top w:val="single" w:sz="4" w:space="0" w:color="E0B84C"/>
          <w:left w:val="single" w:sz="4" w:space="0" w:color="E0B84C"/>
          <w:bottom w:val="single" w:sz="4" w:space="0" w:color="E0B84C"/>
          <w:right w:val="single" w:sz="4" w:space="0" w:color="E0B84C"/>
          <w:insideH w:val="single" w:sz="4" w:space="0" w:color="E0B84C"/>
          <w:insideV w:val="single" w:sz="4" w:space="0" w:color="E0B84C"/>
        </w:tblBorders>
        <w:tblCellMar>
          <w:top w:w="60" w:type="dxa"/>
          <w:left w:w="100" w:type="dxa"/>
          <w:bottom w:w="60" w:type="dxa"/>
          <w:right w:w="100" w:type="dxa"/>
        </w:tblCellMar>
      </w:tblPr>
      <w:tblGrid>
        <w:gridCol w:w="9638"/>
      </w:tblGrid>
      <w:tr>
        <w:trPr>
          <w:cantSplit w:val="true"/>
        </w:trPr>
        <w:tc>
          <w:tcPr>
            <w:tcW w:type="dxa" w:w="9638"/>
            <w:shd w:val="clear" w:color="auto" w:fill="FFF8E1"/>
          </w:tcPr>
          <w:p>
            <w:pPr>
              <w:spacing w:after="40"/>
            </w:pPr>
            <w:r/>
            <w:r>
              <w:rPr>
                <w:b/>
                <w:sz w:val="19"/>
              </w:rPr>
              <w:t xml:space="preserve">Management response: </w:t>
            </w:r>
            <w:r>
              <w:rPr>
                <w:i/>
                <w:sz w:val="19"/>
              </w:rPr>
              <w:t>[To be completed by management]</w:t>
            </w:r>
          </w:p>
          <w:p>
            <w:pPr>
              <w:spacing w:after="0"/>
            </w:pPr>
            <w:r>
              <w:rPr>
                <w:sz w:val="19"/>
              </w:rPr>
              <w:t>Responsible person: ____________________      Target date: ____________</w:t>
            </w:r>
          </w:p>
        </w:tc>
      </w:tr>
    </w:tbl>
    <w:p>
      <w:pPr>
        <w:spacing w:after="80"/>
      </w:pPr>
      <w:r>
        <w:rPr>
          <w:i w:val="0"/>
        </w:rPr>
      </w:r>
    </w:p>
    <w:p>
      <w:pPr>
        <w:pStyle w:val="Heading2"/>
      </w:pPr>
      <w:r>
        <w:t>Observation 3: Large variance outlier transactions</w:t>
      </w:r>
    </w:p>
    <w:p>
      <w:pPr>
        <w:keepNext/>
        <w:spacing w:after="80"/>
      </w:pPr>
      <w:r>
        <w:rPr>
          <w:b/>
        </w:rPr>
        <w:t xml:space="preserve">Priority: </w:t>
      </w:r>
      <w:r>
        <w:rPr>
          <w:b/>
          <w:i w:val="0"/>
          <w:color w:val="C00000"/>
        </w:rPr>
        <w:t>High</w:t>
      </w:r>
    </w:p>
    <w:p>
      <w:pPr>
        <w:keepNext/>
      </w:pPr>
      <w:r>
        <w:rPr>
          <w:b/>
        </w:rPr>
        <w:t xml:space="preserve">Observation: </w:t>
      </w:r>
      <w:r>
        <w:rPr>
          <w:i w:val="0"/>
        </w:rPr>
        <w:t>Three journal entries exhibit amounts that are statistical outliers for their respective accounts (z-score &gt; 3.5). The amounts range from ₹4.94 crore to ₹4.98 crore, far exceeding typical transaction sizes for the accounts involved.</w:t>
      </w:r>
    </w:p>
    <w:p>
      <w:pPr>
        <w:keepNext/>
      </w:pPr>
      <w:r>
        <w:rPr>
          <w:b/>
        </w:rPr>
        <w:t xml:space="preserve">Ledger-wide result: </w:t>
      </w:r>
      <w:r>
        <w:rPr>
          <w:i w:val="0"/>
        </w:rPr>
        <w:t>146 entries across the whole ledger (value ₹3,35,23,01,986) triggered: Variance outlier (z-score / IQR / MoM).</w:t>
      </w:r>
    </w:p>
    <w:p>
      <w:pPr>
        <w:keepNext/>
        <w:spacing w:after="60"/>
      </w:pPr>
      <w:r>
        <w:rPr>
          <w:b/>
        </w:rPr>
        <w:t xml:space="preserve">Entries affected: </w:t>
      </w:r>
      <w:r>
        <w:rPr>
          <w:i w:val="0"/>
        </w:rPr>
        <w:t>2 listed; combined value ₹9,93,73,170</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1377"/>
        <w:gridCol w:w="1377"/>
        <w:gridCol w:w="1377"/>
        <w:gridCol w:w="1377"/>
        <w:gridCol w:w="1377"/>
        <w:gridCol w:w="1377"/>
        <w:gridCol w:w="1377"/>
      </w:tblGrid>
      <w:tr>
        <w:trPr>
          <w:cantSplit w:val="true"/>
          <w:tblHeader w:val="true"/>
        </w:trPr>
        <w:tc>
          <w:tcPr>
            <w:tcW w:type="dxa" w:w="1304"/>
            <w:shd w:val="clear" w:color="auto" w:fill="1F3A5F"/>
          </w:tcPr>
          <w:p>
            <w:pPr>
              <w:spacing w:after="0" w:before="0"/>
            </w:pPr>
            <w:r/>
            <w:r>
              <w:rPr>
                <w:b/>
                <w:i w:val="0"/>
                <w:color w:val="FFFFFF"/>
                <w:sz w:val="17"/>
              </w:rPr>
              <w:t>Entry ID</w:t>
            </w:r>
          </w:p>
        </w:tc>
        <w:tc>
          <w:tcPr>
            <w:tcW w:type="dxa" w:w="1247"/>
            <w:shd w:val="clear" w:color="auto" w:fill="1F3A5F"/>
          </w:tcPr>
          <w:p>
            <w:pPr>
              <w:spacing w:after="0" w:before="0"/>
            </w:pPr>
            <w:r/>
            <w:r>
              <w:rPr>
                <w:b/>
                <w:i w:val="0"/>
                <w:color w:val="FFFFFF"/>
                <w:sz w:val="17"/>
              </w:rPr>
              <w:t>Posted on</w:t>
            </w:r>
          </w:p>
        </w:tc>
        <w:tc>
          <w:tcPr>
            <w:tcW w:type="dxa" w:w="2324"/>
            <w:shd w:val="clear" w:color="auto" w:fill="1F3A5F"/>
          </w:tcPr>
          <w:p>
            <w:pPr>
              <w:spacing w:after="0" w:before="0"/>
            </w:pPr>
            <w:r/>
            <w:r>
              <w:rPr>
                <w:b/>
                <w:i w:val="0"/>
                <w:color w:val="FFFFFF"/>
                <w:sz w:val="17"/>
              </w:rPr>
              <w:t>Account</w:t>
            </w:r>
          </w:p>
        </w:tc>
        <w:tc>
          <w:tcPr>
            <w:tcW w:type="dxa" w:w="1701"/>
            <w:shd w:val="clear" w:color="auto" w:fill="1F3A5F"/>
          </w:tcPr>
          <w:p>
            <w:pPr>
              <w:spacing w:after="0" w:before="0"/>
              <w:jc w:val="right"/>
            </w:pPr>
            <w:r/>
            <w:r>
              <w:rPr>
                <w:b/>
                <w:i w:val="0"/>
                <w:color w:val="FFFFFF"/>
                <w:sz w:val="17"/>
              </w:rPr>
              <w:t>Amount</w:t>
            </w:r>
          </w:p>
        </w:tc>
        <w:tc>
          <w:tcPr>
            <w:tcW w:type="dxa" w:w="1247"/>
            <w:shd w:val="clear" w:color="auto" w:fill="1F3A5F"/>
          </w:tcPr>
          <w:p>
            <w:pPr>
              <w:spacing w:after="0" w:before="0"/>
            </w:pPr>
            <w:r/>
            <w:r>
              <w:rPr>
                <w:b/>
                <w:i w:val="0"/>
                <w:color w:val="FFFFFF"/>
                <w:sz w:val="17"/>
              </w:rPr>
              <w:t>Posted by</w:t>
            </w:r>
          </w:p>
        </w:tc>
        <w:tc>
          <w:tcPr>
            <w:tcW w:type="dxa" w:w="1247"/>
            <w:shd w:val="clear" w:color="auto" w:fill="1F3A5F"/>
          </w:tcPr>
          <w:p>
            <w:pPr>
              <w:spacing w:after="0" w:before="0"/>
            </w:pPr>
            <w:r/>
            <w:r>
              <w:rPr>
                <w:b/>
                <w:i w:val="0"/>
                <w:color w:val="FFFFFF"/>
                <w:sz w:val="17"/>
              </w:rPr>
              <w:t>Approved by</w:t>
            </w:r>
          </w:p>
        </w:tc>
        <w:tc>
          <w:tcPr>
            <w:tcW w:type="dxa" w:w="567"/>
            <w:shd w:val="clear" w:color="auto" w:fill="1F3A5F"/>
          </w:tcPr>
          <w:p>
            <w:pPr>
              <w:spacing w:after="0" w:before="0"/>
              <w:jc w:val="right"/>
            </w:pPr>
            <w:r/>
            <w:r>
              <w:rPr>
                <w:b/>
                <w:i w:val="0"/>
                <w:color w:val="FFFFFF"/>
                <w:sz w:val="17"/>
              </w:rPr>
              <w:t>Score</w:t>
            </w:r>
          </w:p>
        </w:tc>
      </w:tr>
      <w:tr>
        <w:trPr>
          <w:cantSplit w:val="true"/>
        </w:trPr>
        <w:tc>
          <w:tcPr>
            <w:tcW w:type="dxa" w:w="1304"/>
          </w:tcPr>
          <w:p>
            <w:pPr>
              <w:spacing w:after="0" w:before="0"/>
            </w:pPr>
            <w:r/>
            <w:r>
              <w:rPr>
                <w:b w:val="0"/>
                <w:i w:val="0"/>
                <w:sz w:val="17"/>
              </w:rPr>
              <w:t>JE-019455</w:t>
            </w:r>
          </w:p>
        </w:tc>
        <w:tc>
          <w:tcPr>
            <w:tcW w:type="dxa" w:w="1247"/>
          </w:tcPr>
          <w:p>
            <w:pPr>
              <w:spacing w:after="0" w:before="0"/>
            </w:pPr>
            <w:r/>
            <w:r>
              <w:rPr>
                <w:b w:val="0"/>
                <w:i w:val="0"/>
                <w:sz w:val="17"/>
              </w:rPr>
              <w:t>13-Aug-2025</w:t>
            </w:r>
          </w:p>
        </w:tc>
        <w:tc>
          <w:tcPr>
            <w:tcW w:type="dxa" w:w="2324"/>
          </w:tcPr>
          <w:p>
            <w:pPr>
              <w:spacing w:after="0" w:before="0"/>
            </w:pPr>
            <w:r/>
            <w:r>
              <w:rPr>
                <w:b w:val="0"/>
                <w:i w:val="0"/>
                <w:sz w:val="17"/>
              </w:rPr>
              <w:t>1006 Advances to Suppliers</w:t>
            </w:r>
          </w:p>
        </w:tc>
        <w:tc>
          <w:tcPr>
            <w:tcW w:type="dxa" w:w="1701"/>
          </w:tcPr>
          <w:p>
            <w:pPr>
              <w:spacing w:after="0" w:before="0"/>
              <w:jc w:val="right"/>
            </w:pPr>
            <w:r/>
            <w:r>
              <w:rPr>
                <w:b w:val="0"/>
                <w:i w:val="0"/>
                <w:sz w:val="17"/>
              </w:rPr>
              <w:t>₹4,94,84,435</w:t>
            </w:r>
          </w:p>
        </w:tc>
        <w:tc>
          <w:tcPr>
            <w:tcW w:type="dxa" w:w="1247"/>
          </w:tcPr>
          <w:p>
            <w:pPr>
              <w:spacing w:after="0" w:before="0"/>
            </w:pPr>
            <w:r/>
            <w:r>
              <w:rPr>
                <w:b w:val="0"/>
                <w:i w:val="0"/>
                <w:sz w:val="17"/>
              </w:rPr>
              <w:t>USER_22</w:t>
            </w:r>
          </w:p>
        </w:tc>
        <w:tc>
          <w:tcPr>
            <w:tcW w:type="dxa" w:w="1247"/>
          </w:tcPr>
          <w:p>
            <w:pPr>
              <w:spacing w:after="0" w:before="0"/>
            </w:pPr>
            <w:r/>
            <w:r>
              <w:rPr>
                <w:b w:val="0"/>
                <w:i w:val="0"/>
                <w:sz w:val="17"/>
              </w:rPr>
              <w:t>USER_02</w:t>
            </w:r>
          </w:p>
        </w:tc>
        <w:tc>
          <w:tcPr>
            <w:tcW w:type="dxa" w:w="567"/>
          </w:tcPr>
          <w:p>
            <w:pPr>
              <w:spacing w:after="0" w:before="0"/>
              <w:jc w:val="right"/>
            </w:pPr>
            <w:r/>
            <w:r>
              <w:rPr>
                <w:b w:val="0"/>
                <w:i w:val="0"/>
                <w:sz w:val="17"/>
              </w:rPr>
              <w:t>80</w:t>
            </w:r>
          </w:p>
        </w:tc>
      </w:tr>
      <w:tr>
        <w:trPr>
          <w:cantSplit w:val="true"/>
        </w:trPr>
        <w:tc>
          <w:tcPr>
            <w:tcW w:type="dxa" w:w="1304"/>
            <w:shd w:val="clear" w:color="auto" w:fill="F3F6FA"/>
          </w:tcPr>
          <w:p>
            <w:pPr>
              <w:spacing w:after="0" w:before="0"/>
            </w:pPr>
            <w:r/>
            <w:r>
              <w:rPr>
                <w:b w:val="0"/>
                <w:i w:val="0"/>
                <w:sz w:val="17"/>
              </w:rPr>
              <w:t>JE-049570</w:t>
            </w:r>
          </w:p>
        </w:tc>
        <w:tc>
          <w:tcPr>
            <w:tcW w:type="dxa" w:w="1247"/>
            <w:shd w:val="clear" w:color="auto" w:fill="F3F6FA"/>
          </w:tcPr>
          <w:p>
            <w:pPr>
              <w:spacing w:after="0" w:before="0"/>
            </w:pPr>
            <w:r/>
            <w:r>
              <w:rPr>
                <w:b w:val="0"/>
                <w:i w:val="0"/>
                <w:sz w:val="17"/>
              </w:rPr>
              <w:t>13-Mar-2026</w:t>
            </w:r>
          </w:p>
        </w:tc>
        <w:tc>
          <w:tcPr>
            <w:tcW w:type="dxa" w:w="2324"/>
            <w:shd w:val="clear" w:color="auto" w:fill="F3F6FA"/>
          </w:tcPr>
          <w:p>
            <w:pPr>
              <w:spacing w:after="0" w:before="0"/>
            </w:pPr>
            <w:r/>
            <w:r>
              <w:rPr>
                <w:b w:val="0"/>
                <w:i w:val="0"/>
                <w:sz w:val="17"/>
              </w:rPr>
              <w:t>1002 Trade Receivables</w:t>
            </w:r>
          </w:p>
        </w:tc>
        <w:tc>
          <w:tcPr>
            <w:tcW w:type="dxa" w:w="1701"/>
            <w:shd w:val="clear" w:color="auto" w:fill="F3F6FA"/>
          </w:tcPr>
          <w:p>
            <w:pPr>
              <w:spacing w:after="0" w:before="0"/>
              <w:jc w:val="right"/>
            </w:pPr>
            <w:r/>
            <w:r>
              <w:rPr>
                <w:b w:val="0"/>
                <w:i w:val="0"/>
                <w:sz w:val="17"/>
              </w:rPr>
              <w:t>₹4,98,88,735</w:t>
            </w:r>
          </w:p>
        </w:tc>
        <w:tc>
          <w:tcPr>
            <w:tcW w:type="dxa" w:w="1247"/>
            <w:shd w:val="clear" w:color="auto" w:fill="F3F6FA"/>
          </w:tcPr>
          <w:p>
            <w:pPr>
              <w:spacing w:after="0" w:before="0"/>
            </w:pPr>
            <w:r/>
            <w:r>
              <w:rPr>
                <w:b w:val="0"/>
                <w:i w:val="0"/>
                <w:sz w:val="17"/>
              </w:rPr>
              <w:t>USER_08</w:t>
            </w:r>
          </w:p>
        </w:tc>
        <w:tc>
          <w:tcPr>
            <w:tcW w:type="dxa" w:w="1247"/>
            <w:shd w:val="clear" w:color="auto" w:fill="F3F6FA"/>
          </w:tcPr>
          <w:p>
            <w:pPr>
              <w:spacing w:after="0" w:before="0"/>
            </w:pPr>
            <w:r/>
            <w:r>
              <w:rPr>
                <w:b w:val="0"/>
                <w:i w:val="0"/>
                <w:sz w:val="17"/>
              </w:rPr>
              <w:t>USER_08</w:t>
            </w:r>
          </w:p>
        </w:tc>
        <w:tc>
          <w:tcPr>
            <w:tcW w:type="dxa" w:w="567"/>
            <w:shd w:val="clear" w:color="auto" w:fill="F3F6FA"/>
          </w:tcPr>
          <w:p>
            <w:pPr>
              <w:spacing w:after="0" w:before="0"/>
              <w:jc w:val="right"/>
            </w:pPr>
            <w:r/>
            <w:r>
              <w:rPr>
                <w:b w:val="0"/>
                <w:i w:val="0"/>
                <w:sz w:val="17"/>
              </w:rPr>
              <w:t>80</w:t>
            </w:r>
          </w:p>
        </w:tc>
      </w:tr>
    </w:tbl>
    <w:p>
      <w:pPr>
        <w:spacing w:after="40"/>
      </w:pPr>
      <w:r>
        <w:rPr>
          <w:i w:val="0"/>
        </w:rPr>
      </w:r>
    </w:p>
    <w:p>
      <w:r>
        <w:rPr>
          <w:b/>
          <w:sz w:val="19"/>
        </w:rPr>
        <w:t xml:space="preserve">Also relevant: </w:t>
      </w:r>
      <w:r>
        <w:rPr>
          <w:i w:val="0"/>
          <w:sz w:val="19"/>
        </w:rPr>
        <w:t>JE-008182 (see Observation 1)</w:t>
      </w:r>
    </w:p>
    <w:p>
      <w:r>
        <w:rPr>
          <w:b/>
        </w:rPr>
        <w:t xml:space="preserve">Risk / implication: </w:t>
      </w:r>
      <w:r>
        <w:rPr>
          <w:i w:val="0"/>
        </w:rPr>
        <w:t>Outlier transactions may indicate misstatement, inappropriate classification, or manipulation of financial results, which is relevant to ICAI SA 240, SA 315 and SA 330.</w:t>
      </w:r>
    </w:p>
    <w:p>
      <w:pPr>
        <w:keepNext/>
        <w:spacing w:after="40"/>
      </w:pPr>
      <w:r>
        <w:rPr>
          <w:b/>
        </w:rPr>
        <w:t xml:space="preserve">Recommendation: </w:t>
      </w:r>
      <w:r>
        <w:rPr>
          <w:i w:val="0"/>
        </w:rPr>
      </w:r>
    </w:p>
    <w:p>
      <w:pPr>
        <w:pStyle w:val="ListBullet"/>
        <w:spacing w:after="40"/>
      </w:pPr>
      <w:r>
        <w:t>Perform detailed substantive testing on all outlier transactions.</w:t>
      </w:r>
    </w:p>
    <w:p>
      <w:pPr>
        <w:pStyle w:val="ListBullet"/>
        <w:spacing w:after="40"/>
      </w:pPr>
      <w:r>
        <w:t>Establish variance thresholds and require additional justification for entries exceeding them.</w:t>
      </w:r>
    </w:p>
    <w:p>
      <w:pPr>
        <w:pStyle w:val="ListBullet"/>
        <w:spacing w:after="40"/>
      </w:pPr>
      <w:r>
        <w:t>Enhance monitoring to flag outliers in real time for review.</w:t>
      </w:r>
    </w:p>
    <w:tbl>
      <w:tblPr>
        <w:tblW w:type="auto" w:w="0"/>
        <w:jc w:val="center"/>
        <w:tblLook w:firstColumn="1" w:firstRow="1" w:lastColumn="0" w:lastRow="0" w:noHBand="0" w:noVBand="1" w:val="04A0"/>
        <w:tblBorders>
          <w:top w:val="single" w:sz="4" w:space="0" w:color="E0B84C"/>
          <w:left w:val="single" w:sz="4" w:space="0" w:color="E0B84C"/>
          <w:bottom w:val="single" w:sz="4" w:space="0" w:color="E0B84C"/>
          <w:right w:val="single" w:sz="4" w:space="0" w:color="E0B84C"/>
          <w:insideH w:val="single" w:sz="4" w:space="0" w:color="E0B84C"/>
          <w:insideV w:val="single" w:sz="4" w:space="0" w:color="E0B84C"/>
        </w:tblBorders>
        <w:tblCellMar>
          <w:top w:w="60" w:type="dxa"/>
          <w:left w:w="100" w:type="dxa"/>
          <w:bottom w:w="60" w:type="dxa"/>
          <w:right w:w="100" w:type="dxa"/>
        </w:tblCellMar>
      </w:tblPr>
      <w:tblGrid>
        <w:gridCol w:w="9638"/>
      </w:tblGrid>
      <w:tr>
        <w:trPr>
          <w:cantSplit w:val="true"/>
        </w:trPr>
        <w:tc>
          <w:tcPr>
            <w:tcW w:type="dxa" w:w="9638"/>
            <w:shd w:val="clear" w:color="auto" w:fill="FFF8E1"/>
          </w:tcPr>
          <w:p>
            <w:pPr>
              <w:spacing w:after="40"/>
            </w:pPr>
            <w:r/>
            <w:r>
              <w:rPr>
                <w:b/>
                <w:sz w:val="19"/>
              </w:rPr>
              <w:t xml:space="preserve">Management response: </w:t>
            </w:r>
            <w:r>
              <w:rPr>
                <w:i/>
                <w:sz w:val="19"/>
              </w:rPr>
              <w:t>[To be completed by management]</w:t>
            </w:r>
          </w:p>
          <w:p>
            <w:pPr>
              <w:spacing w:after="0"/>
            </w:pPr>
            <w:r>
              <w:rPr>
                <w:sz w:val="19"/>
              </w:rPr>
              <w:t>Responsible person: ____________________      Target date: ____________</w:t>
            </w:r>
          </w:p>
        </w:tc>
      </w:tr>
    </w:tbl>
    <w:p>
      <w:pPr>
        <w:spacing w:after="80"/>
      </w:pPr>
      <w:r>
        <w:rPr>
          <w:i w:val="0"/>
        </w:rPr>
      </w:r>
    </w:p>
    <w:p>
      <w:pPr>
        <w:pStyle w:val="Heading2"/>
      </w:pPr>
      <w:r>
        <w:t>Observation 4: Debit-credit imbalance in a large entry</w:t>
      </w:r>
    </w:p>
    <w:p>
      <w:pPr>
        <w:keepNext/>
        <w:spacing w:after="80"/>
      </w:pPr>
      <w:r>
        <w:rPr>
          <w:b/>
        </w:rPr>
        <w:t xml:space="preserve">Priority: </w:t>
      </w:r>
      <w:r>
        <w:rPr>
          <w:b/>
          <w:i w:val="0"/>
          <w:color w:val="C55A11"/>
        </w:rPr>
        <w:t>Medium</w:t>
      </w:r>
    </w:p>
    <w:p>
      <w:pPr>
        <w:keepNext/>
      </w:pPr>
      <w:r>
        <w:rPr>
          <w:b/>
        </w:rPr>
        <w:t xml:space="preserve">Observation: </w:t>
      </w:r>
      <w:r>
        <w:rPr>
          <w:i w:val="0"/>
        </w:rPr>
        <w:t>Entry JE-019455 shows a discrepancy between debit and credit totals of ₹20,557.86, indicating an imbalance in the recorded amounts.</w:t>
      </w:r>
    </w:p>
    <w:p>
      <w:pPr>
        <w:keepNext/>
      </w:pPr>
      <w:r>
        <w:rPr>
          <w:b/>
        </w:rPr>
        <w:t xml:space="preserve">Ledger-wide result: </w:t>
      </w:r>
      <w:r>
        <w:rPr>
          <w:i w:val="0"/>
        </w:rPr>
        <w:t>60 entries across the whole ledger (value ₹52,19,10,327) triggered: Debit != credit imbalance.</w:t>
      </w:r>
    </w:p>
    <w:p>
      <w:r>
        <w:rPr>
          <w:b/>
          <w:sz w:val="19"/>
        </w:rPr>
        <w:t xml:space="preserve">Also relevant: </w:t>
      </w:r>
      <w:r>
        <w:rPr>
          <w:i w:val="0"/>
          <w:sz w:val="19"/>
        </w:rPr>
        <w:t>JE-019455 (see Observation 3)</w:t>
      </w:r>
    </w:p>
    <w:p>
      <w:r>
        <w:rPr>
          <w:b/>
        </w:rPr>
        <w:t xml:space="preserve">Risk / implication: </w:t>
      </w:r>
      <w:r>
        <w:rPr>
          <w:i w:val="0"/>
        </w:rPr>
        <w:t>Imbalances can lead to inaccurate financial statements and may conceal misappropriation, pertinent to ICAI SA 240, SA 315 and SA 330.</w:t>
      </w:r>
    </w:p>
    <w:p>
      <w:pPr>
        <w:keepNext/>
        <w:spacing w:after="40"/>
      </w:pPr>
      <w:r>
        <w:rPr>
          <w:b/>
        </w:rPr>
        <w:t xml:space="preserve">Recommendation: </w:t>
      </w:r>
      <w:r>
        <w:rPr>
          <w:i w:val="0"/>
        </w:rPr>
      </w:r>
    </w:p>
    <w:p>
      <w:pPr>
        <w:pStyle w:val="ListBullet"/>
        <w:spacing w:after="40"/>
      </w:pPr>
      <w:r>
        <w:t>Investigate the source of the imbalance and correct the journal entry.</w:t>
      </w:r>
    </w:p>
    <w:p>
      <w:pPr>
        <w:pStyle w:val="ListBullet"/>
        <w:spacing w:after="40"/>
      </w:pPr>
      <w:r>
        <w:t>Implement automated validation to prevent posting of imbalanced entries.</w:t>
      </w:r>
    </w:p>
    <w:p>
      <w:pPr>
        <w:pStyle w:val="ListBullet"/>
        <w:spacing w:after="40"/>
      </w:pPr>
      <w:r>
        <w:t>Require managerial sign-off for any entry where debits and credits do not automatically reconcile.</w:t>
      </w:r>
    </w:p>
    <w:tbl>
      <w:tblPr>
        <w:tblW w:type="auto" w:w="0"/>
        <w:jc w:val="center"/>
        <w:tblLook w:firstColumn="1" w:firstRow="1" w:lastColumn="0" w:lastRow="0" w:noHBand="0" w:noVBand="1" w:val="04A0"/>
        <w:tblBorders>
          <w:top w:val="single" w:sz="4" w:space="0" w:color="E0B84C"/>
          <w:left w:val="single" w:sz="4" w:space="0" w:color="E0B84C"/>
          <w:bottom w:val="single" w:sz="4" w:space="0" w:color="E0B84C"/>
          <w:right w:val="single" w:sz="4" w:space="0" w:color="E0B84C"/>
          <w:insideH w:val="single" w:sz="4" w:space="0" w:color="E0B84C"/>
          <w:insideV w:val="single" w:sz="4" w:space="0" w:color="E0B84C"/>
        </w:tblBorders>
        <w:tblCellMar>
          <w:top w:w="60" w:type="dxa"/>
          <w:left w:w="100" w:type="dxa"/>
          <w:bottom w:w="60" w:type="dxa"/>
          <w:right w:w="100" w:type="dxa"/>
        </w:tblCellMar>
      </w:tblPr>
      <w:tblGrid>
        <w:gridCol w:w="9638"/>
      </w:tblGrid>
      <w:tr>
        <w:trPr>
          <w:cantSplit w:val="true"/>
        </w:trPr>
        <w:tc>
          <w:tcPr>
            <w:tcW w:type="dxa" w:w="9638"/>
            <w:shd w:val="clear" w:color="auto" w:fill="FFF8E1"/>
          </w:tcPr>
          <w:p>
            <w:pPr>
              <w:spacing w:after="40"/>
            </w:pPr>
            <w:r/>
            <w:r>
              <w:rPr>
                <w:b/>
                <w:sz w:val="19"/>
              </w:rPr>
              <w:t xml:space="preserve">Management response: </w:t>
            </w:r>
            <w:r>
              <w:rPr>
                <w:i/>
                <w:sz w:val="19"/>
              </w:rPr>
              <w:t>[To be completed by management]</w:t>
            </w:r>
          </w:p>
          <w:p>
            <w:pPr>
              <w:spacing w:after="0"/>
            </w:pPr>
            <w:r>
              <w:rPr>
                <w:sz w:val="19"/>
              </w:rPr>
              <w:t>Responsible person: ____________________      Target date: ____________</w:t>
            </w:r>
          </w:p>
        </w:tc>
      </w:tr>
    </w:tbl>
    <w:p>
      <w:pPr>
        <w:spacing w:after="80"/>
      </w:pPr>
      <w:r>
        <w:rPr>
          <w:i w:val="0"/>
        </w:rPr>
      </w:r>
    </w:p>
    <w:p>
      <w:pPr>
        <w:pStyle w:val="Heading1"/>
      </w:pPr>
      <w:r>
        <w:t>4. Segregation of duties and system-override controls</w:t>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3213"/>
        <w:gridCol w:w="3213"/>
        <w:gridCol w:w="3213"/>
      </w:tblGrid>
      <w:tr>
        <w:trPr>
          <w:cantSplit w:val="true"/>
          <w:tblHeader w:val="true"/>
        </w:trPr>
        <w:tc>
          <w:tcPr>
            <w:tcW w:type="dxa" w:w="5783"/>
            <w:shd w:val="clear" w:color="auto" w:fill="1F3A5F"/>
          </w:tcPr>
          <w:p>
            <w:pPr>
              <w:spacing w:after="0" w:before="0"/>
            </w:pPr>
            <w:r/>
            <w:r>
              <w:rPr>
                <w:b/>
                <w:i w:val="0"/>
                <w:color w:val="FFFFFF"/>
                <w:sz w:val="19"/>
              </w:rPr>
              <w:t>Measure</w:t>
            </w:r>
          </w:p>
        </w:tc>
        <w:tc>
          <w:tcPr>
            <w:tcW w:type="dxa" w:w="1474"/>
            <w:shd w:val="clear" w:color="auto" w:fill="1F3A5F"/>
          </w:tcPr>
          <w:p>
            <w:pPr>
              <w:spacing w:after="0" w:before="0"/>
              <w:jc w:val="right"/>
            </w:pPr>
            <w:r/>
            <w:r>
              <w:rPr>
                <w:b/>
                <w:i w:val="0"/>
                <w:color w:val="FFFFFF"/>
                <w:sz w:val="19"/>
              </w:rPr>
              <w:t>Entries</w:t>
            </w:r>
          </w:p>
        </w:tc>
        <w:tc>
          <w:tcPr>
            <w:tcW w:type="dxa" w:w="2381"/>
            <w:shd w:val="clear" w:color="auto" w:fill="1F3A5F"/>
          </w:tcPr>
          <w:p>
            <w:pPr>
              <w:spacing w:after="0" w:before="0"/>
              <w:jc w:val="right"/>
            </w:pPr>
            <w:r/>
            <w:r>
              <w:rPr>
                <w:b/>
                <w:i w:val="0"/>
                <w:color w:val="FFFFFF"/>
                <w:sz w:val="19"/>
              </w:rPr>
              <w:t>Value</w:t>
            </w:r>
          </w:p>
        </w:tc>
      </w:tr>
      <w:tr>
        <w:trPr>
          <w:cantSplit w:val="true"/>
        </w:trPr>
        <w:tc>
          <w:tcPr>
            <w:tcW w:type="dxa" w:w="5783"/>
          </w:tcPr>
          <w:p>
            <w:pPr>
              <w:spacing w:after="0" w:before="0"/>
            </w:pPr>
            <w:r/>
            <w:r>
              <w:rPr>
                <w:b w:val="0"/>
                <w:i w:val="0"/>
                <w:sz w:val="19"/>
              </w:rPr>
              <w:t>Entries flagged as manual overrides</w:t>
            </w:r>
          </w:p>
        </w:tc>
        <w:tc>
          <w:tcPr>
            <w:tcW w:type="dxa" w:w="1474"/>
          </w:tcPr>
          <w:p>
            <w:pPr>
              <w:spacing w:after="0" w:before="0"/>
              <w:jc w:val="right"/>
            </w:pPr>
            <w:r/>
            <w:r>
              <w:rPr>
                <w:b w:val="0"/>
                <w:i w:val="0"/>
                <w:sz w:val="19"/>
              </w:rPr>
              <w:t>734</w:t>
            </w:r>
          </w:p>
        </w:tc>
        <w:tc>
          <w:tcPr>
            <w:tcW w:type="dxa" w:w="2381"/>
          </w:tcPr>
          <w:p>
            <w:pPr>
              <w:spacing w:after="0" w:before="0"/>
              <w:jc w:val="right"/>
            </w:pPr>
            <w:r/>
            <w:r>
              <w:rPr>
                <w:b w:val="0"/>
                <w:i w:val="0"/>
                <w:sz w:val="19"/>
              </w:rPr>
              <w:t>₹71,63,38,885</w:t>
            </w:r>
          </w:p>
        </w:tc>
      </w:tr>
      <w:tr>
        <w:trPr>
          <w:cantSplit w:val="true"/>
        </w:trPr>
        <w:tc>
          <w:tcPr>
            <w:tcW w:type="dxa" w:w="5783"/>
            <w:shd w:val="clear" w:color="auto" w:fill="F3F6FA"/>
          </w:tcPr>
          <w:p>
            <w:pPr>
              <w:spacing w:after="0" w:before="0"/>
            </w:pPr>
            <w:r/>
            <w:r>
              <w:rPr>
                <w:b w:val="0"/>
                <w:i w:val="0"/>
                <w:sz w:val="19"/>
              </w:rPr>
              <w:t>Manual entries with no approver</w:t>
            </w:r>
          </w:p>
        </w:tc>
        <w:tc>
          <w:tcPr>
            <w:tcW w:type="dxa" w:w="1474"/>
            <w:shd w:val="clear" w:color="auto" w:fill="F3F6FA"/>
          </w:tcPr>
          <w:p>
            <w:pPr>
              <w:spacing w:after="0" w:before="0"/>
              <w:jc w:val="right"/>
            </w:pPr>
            <w:r/>
            <w:r>
              <w:rPr>
                <w:b w:val="0"/>
                <w:i w:val="0"/>
                <w:sz w:val="19"/>
              </w:rPr>
              <w:t>105</w:t>
            </w:r>
          </w:p>
        </w:tc>
        <w:tc>
          <w:tcPr>
            <w:tcW w:type="dxa" w:w="2381"/>
            <w:shd w:val="clear" w:color="auto" w:fill="F3F6FA"/>
          </w:tcPr>
          <w:p>
            <w:pPr>
              <w:spacing w:after="0" w:before="0"/>
              <w:jc w:val="right"/>
            </w:pPr>
            <w:r/>
            <w:r>
              <w:rPr>
                <w:b w:val="0"/>
                <w:i w:val="0"/>
                <w:sz w:val="19"/>
              </w:rPr>
              <w:t>₹6,36,51,361</w:t>
            </w:r>
          </w:p>
        </w:tc>
      </w:tr>
      <w:tr>
        <w:trPr>
          <w:cantSplit w:val="true"/>
        </w:trPr>
        <w:tc>
          <w:tcPr>
            <w:tcW w:type="dxa" w:w="5783"/>
          </w:tcPr>
          <w:p>
            <w:pPr>
              <w:spacing w:after="0" w:before="0"/>
            </w:pPr>
            <w:r/>
            <w:r>
              <w:rPr>
                <w:b w:val="0"/>
                <w:i w:val="0"/>
                <w:sz w:val="19"/>
              </w:rPr>
              <w:t>Manual entries approved by the person who posted them</w:t>
            </w:r>
          </w:p>
        </w:tc>
        <w:tc>
          <w:tcPr>
            <w:tcW w:type="dxa" w:w="1474"/>
          </w:tcPr>
          <w:p>
            <w:pPr>
              <w:spacing w:after="0" w:before="0"/>
              <w:jc w:val="right"/>
            </w:pPr>
            <w:r/>
            <w:r>
              <w:rPr>
                <w:b w:val="0"/>
                <w:i w:val="0"/>
                <w:sz w:val="19"/>
              </w:rPr>
              <w:t>65</w:t>
            </w:r>
          </w:p>
        </w:tc>
        <w:tc>
          <w:tcPr>
            <w:tcW w:type="dxa" w:w="2381"/>
          </w:tcPr>
          <w:p>
            <w:pPr>
              <w:spacing w:after="0" w:before="0"/>
              <w:jc w:val="right"/>
            </w:pPr>
            <w:r/>
            <w:r>
              <w:rPr>
                <w:b w:val="0"/>
                <w:i w:val="0"/>
                <w:sz w:val="19"/>
              </w:rPr>
              <w:t>₹41,01,35,819</w:t>
            </w:r>
          </w:p>
        </w:tc>
      </w:tr>
      <w:tr>
        <w:trPr>
          <w:cantSplit w:val="true"/>
        </w:trPr>
        <w:tc>
          <w:tcPr>
            <w:tcW w:type="dxa" w:w="5783"/>
            <w:shd w:val="clear" w:color="auto" w:fill="F3F6FA"/>
          </w:tcPr>
          <w:p>
            <w:pPr>
              <w:spacing w:after="0" w:before="0"/>
            </w:pPr>
            <w:r/>
            <w:r>
              <w:rPr>
                <w:b w:val="0"/>
                <w:i w:val="0"/>
                <w:sz w:val="19"/>
              </w:rPr>
              <w:t>Manual postings on weekends / public holidays</w:t>
            </w:r>
          </w:p>
        </w:tc>
        <w:tc>
          <w:tcPr>
            <w:tcW w:type="dxa" w:w="1474"/>
            <w:shd w:val="clear" w:color="auto" w:fill="F3F6FA"/>
          </w:tcPr>
          <w:p>
            <w:pPr>
              <w:spacing w:after="0" w:before="0"/>
              <w:jc w:val="right"/>
            </w:pPr>
            <w:r/>
            <w:r>
              <w:rPr>
                <w:b w:val="0"/>
                <w:i w:val="0"/>
                <w:sz w:val="19"/>
              </w:rPr>
              <w:t>172</w:t>
            </w:r>
          </w:p>
        </w:tc>
        <w:tc>
          <w:tcPr>
            <w:tcW w:type="dxa" w:w="2381"/>
            <w:shd w:val="clear" w:color="auto" w:fill="F3F6FA"/>
          </w:tcPr>
          <w:p>
            <w:pPr>
              <w:spacing w:after="0" w:before="0"/>
              <w:jc w:val="right"/>
            </w:pPr>
            <w:r/>
            <w:r>
              <w:rPr>
                <w:b w:val="0"/>
                <w:i w:val="0"/>
                <w:sz w:val="19"/>
              </w:rPr>
              <w:t>₹6,84,48,056</w:t>
            </w:r>
          </w:p>
        </w:tc>
      </w:tr>
      <w:tr>
        <w:trPr>
          <w:cantSplit w:val="true"/>
        </w:trPr>
        <w:tc>
          <w:tcPr>
            <w:tcW w:type="dxa" w:w="5783"/>
          </w:tcPr>
          <w:p>
            <w:pPr>
              <w:spacing w:after="0" w:before="0"/>
            </w:pPr>
            <w:r/>
            <w:r>
              <w:rPr>
                <w:b w:val="0"/>
                <w:i w:val="0"/>
                <w:sz w:val="19"/>
              </w:rPr>
              <w:t>Manual postings after hours</w:t>
            </w:r>
          </w:p>
        </w:tc>
        <w:tc>
          <w:tcPr>
            <w:tcW w:type="dxa" w:w="1474"/>
          </w:tcPr>
          <w:p>
            <w:pPr>
              <w:spacing w:after="0" w:before="0"/>
              <w:jc w:val="right"/>
            </w:pPr>
            <w:r/>
            <w:r>
              <w:rPr>
                <w:b w:val="0"/>
                <w:i w:val="0"/>
                <w:sz w:val="19"/>
              </w:rPr>
              <w:t>165</w:t>
            </w:r>
          </w:p>
        </w:tc>
        <w:tc>
          <w:tcPr>
            <w:tcW w:type="dxa" w:w="2381"/>
          </w:tcPr>
          <w:p>
            <w:pPr>
              <w:spacing w:after="0" w:before="0"/>
              <w:jc w:val="right"/>
            </w:pPr>
            <w:r/>
            <w:r>
              <w:rPr>
                <w:b w:val="0"/>
                <w:i w:val="0"/>
                <w:sz w:val="19"/>
              </w:rPr>
              <w:t>₹6,50,39,777</w:t>
            </w:r>
          </w:p>
        </w:tc>
      </w:tr>
    </w:tbl>
    <w:p>
      <w:pPr>
        <w:spacing w:after="80"/>
      </w:pPr>
      <w:r>
        <w:rPr>
          <w:i w:val="0"/>
        </w:rPr>
      </w:r>
    </w:p>
    <w:p>
      <w:pPr>
        <w:keepNext/>
        <w:spacing w:after="60"/>
      </w:pPr>
      <w:r>
        <w:rPr>
          <w:b/>
        </w:rPr>
        <w:t xml:space="preserve">Users with the most unapproved or self-approved manual entries: </w:t>
      </w:r>
      <w:r>
        <w:rPr>
          <w:i w:val="0"/>
        </w:rPr>
      </w:r>
    </w:p>
    <w:tbl>
      <w:tblPr>
        <w:tblW w:type="auto" w:w="0"/>
        <w:jc w:val="center"/>
        <w:tblLayout w:type="fixed"/>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40" w:type="dxa"/>
          <w:left w:w="80" w:type="dxa"/>
          <w:bottom w:w="40" w:type="dxa"/>
          <w:right w:w="80" w:type="dxa"/>
        </w:tblCellMar>
      </w:tblPr>
      <w:tblGrid>
        <w:gridCol w:w="2409"/>
        <w:gridCol w:w="2409"/>
        <w:gridCol w:w="2409"/>
        <w:gridCol w:w="2409"/>
      </w:tblGrid>
      <w:tr>
        <w:trPr>
          <w:cantSplit w:val="true"/>
          <w:tblHeader w:val="true"/>
        </w:trPr>
        <w:tc>
          <w:tcPr>
            <w:tcW w:type="dxa" w:w="3402"/>
            <w:shd w:val="clear" w:color="auto" w:fill="1F3A5F"/>
          </w:tcPr>
          <w:p>
            <w:pPr>
              <w:spacing w:after="0" w:before="0"/>
            </w:pPr>
            <w:r/>
            <w:r>
              <w:rPr>
                <w:b/>
                <w:i w:val="0"/>
                <w:color w:val="FFFFFF"/>
                <w:sz w:val="19"/>
              </w:rPr>
              <w:t>User</w:t>
            </w:r>
          </w:p>
        </w:tc>
        <w:tc>
          <w:tcPr>
            <w:tcW w:type="dxa" w:w="1814"/>
            <w:shd w:val="clear" w:color="auto" w:fill="1F3A5F"/>
          </w:tcPr>
          <w:p>
            <w:pPr>
              <w:spacing w:after="0" w:before="0"/>
              <w:jc w:val="right"/>
            </w:pPr>
            <w:r/>
            <w:r>
              <w:rPr>
                <w:b/>
                <w:i w:val="0"/>
                <w:color w:val="FFFFFF"/>
                <w:sz w:val="19"/>
              </w:rPr>
              <w:t>No approver</w:t>
            </w:r>
          </w:p>
        </w:tc>
        <w:tc>
          <w:tcPr>
            <w:tcW w:type="dxa" w:w="2041"/>
            <w:shd w:val="clear" w:color="auto" w:fill="1F3A5F"/>
          </w:tcPr>
          <w:p>
            <w:pPr>
              <w:spacing w:after="0" w:before="0"/>
              <w:jc w:val="right"/>
            </w:pPr>
            <w:r/>
            <w:r>
              <w:rPr>
                <w:b/>
                <w:i w:val="0"/>
                <w:color w:val="FFFFFF"/>
                <w:sz w:val="19"/>
              </w:rPr>
              <w:t>Self-approved</w:t>
            </w:r>
          </w:p>
        </w:tc>
        <w:tc>
          <w:tcPr>
            <w:tcW w:type="dxa" w:w="2381"/>
            <w:shd w:val="clear" w:color="auto" w:fill="1F3A5F"/>
          </w:tcPr>
          <w:p>
            <w:pPr>
              <w:spacing w:after="0" w:before="0"/>
              <w:jc w:val="right"/>
            </w:pPr>
            <w:r/>
            <w:r>
              <w:rPr>
                <w:b/>
                <w:i w:val="0"/>
                <w:color w:val="FFFFFF"/>
                <w:sz w:val="19"/>
              </w:rPr>
              <w:t>Value</w:t>
            </w:r>
          </w:p>
        </w:tc>
      </w:tr>
      <w:tr>
        <w:trPr>
          <w:cantSplit w:val="true"/>
        </w:trPr>
        <w:tc>
          <w:tcPr>
            <w:tcW w:type="dxa" w:w="3402"/>
          </w:tcPr>
          <w:p>
            <w:pPr>
              <w:spacing w:after="0" w:before="0"/>
            </w:pPr>
            <w:r/>
            <w:r>
              <w:rPr>
                <w:b w:val="0"/>
                <w:i w:val="0"/>
                <w:sz w:val="19"/>
              </w:rPr>
              <w:t>USER_06</w:t>
            </w:r>
          </w:p>
        </w:tc>
        <w:tc>
          <w:tcPr>
            <w:tcW w:type="dxa" w:w="1814"/>
          </w:tcPr>
          <w:p>
            <w:pPr>
              <w:spacing w:after="0" w:before="0"/>
              <w:jc w:val="right"/>
            </w:pPr>
            <w:r/>
            <w:r>
              <w:rPr>
                <w:b w:val="0"/>
                <w:i w:val="0"/>
                <w:sz w:val="19"/>
              </w:rPr>
              <w:t>10</w:t>
            </w:r>
          </w:p>
        </w:tc>
        <w:tc>
          <w:tcPr>
            <w:tcW w:type="dxa" w:w="2041"/>
          </w:tcPr>
          <w:p>
            <w:pPr>
              <w:spacing w:after="0" w:before="0"/>
              <w:jc w:val="right"/>
            </w:pPr>
            <w:r/>
            <w:r>
              <w:rPr>
                <w:b w:val="0"/>
                <w:i w:val="0"/>
                <w:sz w:val="19"/>
              </w:rPr>
              <w:t>10</w:t>
            </w:r>
          </w:p>
        </w:tc>
        <w:tc>
          <w:tcPr>
            <w:tcW w:type="dxa" w:w="2381"/>
          </w:tcPr>
          <w:p>
            <w:pPr>
              <w:spacing w:after="0" w:before="0"/>
              <w:jc w:val="right"/>
            </w:pPr>
            <w:r/>
            <w:r>
              <w:rPr>
                <w:b w:val="0"/>
                <w:i w:val="0"/>
                <w:sz w:val="19"/>
              </w:rPr>
              <w:t>₹7,31,40,541</w:t>
            </w:r>
          </w:p>
        </w:tc>
      </w:tr>
      <w:tr>
        <w:trPr>
          <w:cantSplit w:val="true"/>
        </w:trPr>
        <w:tc>
          <w:tcPr>
            <w:tcW w:type="dxa" w:w="3402"/>
            <w:shd w:val="clear" w:color="auto" w:fill="F3F6FA"/>
          </w:tcPr>
          <w:p>
            <w:pPr>
              <w:spacing w:after="0" w:before="0"/>
            </w:pPr>
            <w:r/>
            <w:r>
              <w:rPr>
                <w:b w:val="0"/>
                <w:i w:val="0"/>
                <w:sz w:val="19"/>
              </w:rPr>
              <w:t>USER_05</w:t>
            </w:r>
          </w:p>
        </w:tc>
        <w:tc>
          <w:tcPr>
            <w:tcW w:type="dxa" w:w="1814"/>
            <w:shd w:val="clear" w:color="auto" w:fill="F3F6FA"/>
          </w:tcPr>
          <w:p>
            <w:pPr>
              <w:spacing w:after="0" w:before="0"/>
              <w:jc w:val="right"/>
            </w:pPr>
            <w:r/>
            <w:r>
              <w:rPr>
                <w:b w:val="0"/>
                <w:i w:val="0"/>
                <w:sz w:val="19"/>
              </w:rPr>
              <w:t>12</w:t>
            </w:r>
          </w:p>
        </w:tc>
        <w:tc>
          <w:tcPr>
            <w:tcW w:type="dxa" w:w="2041"/>
            <w:shd w:val="clear" w:color="auto" w:fill="F3F6FA"/>
          </w:tcPr>
          <w:p>
            <w:pPr>
              <w:spacing w:after="0" w:before="0"/>
              <w:jc w:val="right"/>
            </w:pPr>
            <w:r/>
            <w:r>
              <w:rPr>
                <w:b w:val="0"/>
                <w:i w:val="0"/>
                <w:sz w:val="19"/>
              </w:rPr>
              <w:t>8</w:t>
            </w:r>
          </w:p>
        </w:tc>
        <w:tc>
          <w:tcPr>
            <w:tcW w:type="dxa" w:w="2381"/>
            <w:shd w:val="clear" w:color="auto" w:fill="F3F6FA"/>
          </w:tcPr>
          <w:p>
            <w:pPr>
              <w:spacing w:after="0" w:before="0"/>
              <w:jc w:val="right"/>
            </w:pPr>
            <w:r/>
            <w:r>
              <w:rPr>
                <w:b w:val="0"/>
                <w:i w:val="0"/>
                <w:sz w:val="19"/>
              </w:rPr>
              <w:t>₹6,35,47,773</w:t>
            </w:r>
          </w:p>
        </w:tc>
      </w:tr>
      <w:tr>
        <w:trPr>
          <w:cantSplit w:val="true"/>
        </w:trPr>
        <w:tc>
          <w:tcPr>
            <w:tcW w:type="dxa" w:w="3402"/>
          </w:tcPr>
          <w:p>
            <w:pPr>
              <w:spacing w:after="0" w:before="0"/>
            </w:pPr>
            <w:r/>
            <w:r>
              <w:rPr>
                <w:b w:val="0"/>
                <w:i w:val="0"/>
                <w:sz w:val="19"/>
              </w:rPr>
              <w:t>USER_09</w:t>
            </w:r>
          </w:p>
        </w:tc>
        <w:tc>
          <w:tcPr>
            <w:tcW w:type="dxa" w:w="1814"/>
          </w:tcPr>
          <w:p>
            <w:pPr>
              <w:spacing w:after="0" w:before="0"/>
              <w:jc w:val="right"/>
            </w:pPr>
            <w:r/>
            <w:r>
              <w:rPr>
                <w:b w:val="0"/>
                <w:i w:val="0"/>
                <w:sz w:val="19"/>
              </w:rPr>
              <w:t>10</w:t>
            </w:r>
          </w:p>
        </w:tc>
        <w:tc>
          <w:tcPr>
            <w:tcW w:type="dxa" w:w="2041"/>
          </w:tcPr>
          <w:p>
            <w:pPr>
              <w:spacing w:after="0" w:before="0"/>
              <w:jc w:val="right"/>
            </w:pPr>
            <w:r/>
            <w:r>
              <w:rPr>
                <w:b w:val="0"/>
                <w:i w:val="0"/>
                <w:sz w:val="19"/>
              </w:rPr>
              <w:t>3</w:t>
            </w:r>
          </w:p>
        </w:tc>
        <w:tc>
          <w:tcPr>
            <w:tcW w:type="dxa" w:w="2381"/>
          </w:tcPr>
          <w:p>
            <w:pPr>
              <w:spacing w:after="0" w:before="0"/>
              <w:jc w:val="right"/>
            </w:pPr>
            <w:r/>
            <w:r>
              <w:rPr>
                <w:b w:val="0"/>
                <w:i w:val="0"/>
                <w:sz w:val="19"/>
              </w:rPr>
              <w:t>₹4,19,15,184</w:t>
            </w:r>
          </w:p>
        </w:tc>
      </w:tr>
      <w:tr>
        <w:trPr>
          <w:cantSplit w:val="true"/>
        </w:trPr>
        <w:tc>
          <w:tcPr>
            <w:tcW w:type="dxa" w:w="3402"/>
            <w:shd w:val="clear" w:color="auto" w:fill="F3F6FA"/>
          </w:tcPr>
          <w:p>
            <w:pPr>
              <w:spacing w:after="0" w:before="0"/>
            </w:pPr>
            <w:r/>
            <w:r>
              <w:rPr>
                <w:b w:val="0"/>
                <w:i w:val="0"/>
                <w:sz w:val="19"/>
              </w:rPr>
              <w:t>USER_12</w:t>
            </w:r>
          </w:p>
        </w:tc>
        <w:tc>
          <w:tcPr>
            <w:tcW w:type="dxa" w:w="1814"/>
            <w:shd w:val="clear" w:color="auto" w:fill="F3F6FA"/>
          </w:tcPr>
          <w:p>
            <w:pPr>
              <w:spacing w:after="0" w:before="0"/>
              <w:jc w:val="right"/>
            </w:pPr>
            <w:r/>
            <w:r>
              <w:rPr>
                <w:b w:val="0"/>
                <w:i w:val="0"/>
                <w:sz w:val="19"/>
              </w:rPr>
              <w:t>11</w:t>
            </w:r>
          </w:p>
        </w:tc>
        <w:tc>
          <w:tcPr>
            <w:tcW w:type="dxa" w:w="2041"/>
            <w:shd w:val="clear" w:color="auto" w:fill="F3F6FA"/>
          </w:tcPr>
          <w:p>
            <w:pPr>
              <w:spacing w:after="0" w:before="0"/>
              <w:jc w:val="right"/>
            </w:pPr>
            <w:r/>
            <w:r>
              <w:rPr>
                <w:b w:val="0"/>
                <w:i w:val="0"/>
                <w:sz w:val="19"/>
              </w:rPr>
              <w:t>2</w:t>
            </w:r>
          </w:p>
        </w:tc>
        <w:tc>
          <w:tcPr>
            <w:tcW w:type="dxa" w:w="2381"/>
            <w:shd w:val="clear" w:color="auto" w:fill="F3F6FA"/>
          </w:tcPr>
          <w:p>
            <w:pPr>
              <w:spacing w:after="0" w:before="0"/>
              <w:jc w:val="right"/>
            </w:pPr>
            <w:r/>
            <w:r>
              <w:rPr>
                <w:b w:val="0"/>
                <w:i w:val="0"/>
                <w:sz w:val="19"/>
              </w:rPr>
              <w:t>₹3,44,72,497</w:t>
            </w:r>
          </w:p>
        </w:tc>
      </w:tr>
      <w:tr>
        <w:trPr>
          <w:cantSplit w:val="true"/>
        </w:trPr>
        <w:tc>
          <w:tcPr>
            <w:tcW w:type="dxa" w:w="3402"/>
          </w:tcPr>
          <w:p>
            <w:pPr>
              <w:spacing w:after="0" w:before="0"/>
            </w:pPr>
            <w:r/>
            <w:r>
              <w:rPr>
                <w:b w:val="0"/>
                <w:i w:val="0"/>
                <w:sz w:val="19"/>
              </w:rPr>
              <w:t>USER_11</w:t>
            </w:r>
          </w:p>
        </w:tc>
        <w:tc>
          <w:tcPr>
            <w:tcW w:type="dxa" w:w="1814"/>
          </w:tcPr>
          <w:p>
            <w:pPr>
              <w:spacing w:after="0" w:before="0"/>
              <w:jc w:val="right"/>
            </w:pPr>
            <w:r/>
            <w:r>
              <w:rPr>
                <w:b w:val="0"/>
                <w:i w:val="0"/>
                <w:sz w:val="19"/>
              </w:rPr>
              <w:t>6</w:t>
            </w:r>
          </w:p>
        </w:tc>
        <w:tc>
          <w:tcPr>
            <w:tcW w:type="dxa" w:w="2041"/>
          </w:tcPr>
          <w:p>
            <w:pPr>
              <w:spacing w:after="0" w:before="0"/>
              <w:jc w:val="right"/>
            </w:pPr>
            <w:r/>
            <w:r>
              <w:rPr>
                <w:b w:val="0"/>
                <w:i w:val="0"/>
                <w:sz w:val="19"/>
              </w:rPr>
              <w:t>6</w:t>
            </w:r>
          </w:p>
        </w:tc>
        <w:tc>
          <w:tcPr>
            <w:tcW w:type="dxa" w:w="2381"/>
          </w:tcPr>
          <w:p>
            <w:pPr>
              <w:spacing w:after="0" w:before="0"/>
              <w:jc w:val="right"/>
            </w:pPr>
            <w:r/>
            <w:r>
              <w:rPr>
                <w:b w:val="0"/>
                <w:i w:val="0"/>
                <w:sz w:val="19"/>
              </w:rPr>
              <w:t>₹2,68,50,226</w:t>
            </w:r>
          </w:p>
        </w:tc>
      </w:tr>
    </w:tbl>
    <w:p>
      <w:pPr>
        <w:spacing w:after="80"/>
      </w:pPr>
      <w:r>
        <w:rPr>
          <w:i w:val="0"/>
        </w:rPr>
      </w:r>
    </w:p>
    <w:p>
      <w:r>
        <w:rPr>
          <w:i w:val="0"/>
        </w:rPr>
        <w:t>The review identified significant breaches of segregation of duties, primarily through the use of system overrides without independent approval and self-approved entries. Strengthening the approval workflow, enforcing role-based access controls, and introducing automated segregation checks will mitigate the risk of unauthorised postings and improve overall control robustness.</w:t>
      </w:r>
    </w:p>
    <w:p>
      <w:pPr>
        <w:pStyle w:val="Heading1"/>
      </w:pPr>
      <w:r>
        <w:t>5. Basis of preparation and limitations</w:t>
      </w:r>
    </w:p>
    <w:p>
      <w:pPr>
        <w:pStyle w:val="ListBullet"/>
        <w:spacing w:after="40"/>
      </w:pPr>
      <w:r>
        <w:rPr>
          <w:sz w:val="19"/>
        </w:rPr>
        <w:t>Tests applied: Weekend / holiday posting; After-hours posting; Override without approval / self-approval (SoD); Just below approval threshold; Round-figure amount; Duplicate entry; Benford's-law violation; Variance outlier (z-score / IQR / MoM); Period-end manual journal; Back-dated / future-dated; Debit != credit imbalance; Dormant account / rare user.</w:t>
      </w:r>
    </w:p>
    <w:p>
      <w:pPr>
        <w:pStyle w:val="ListBullet"/>
        <w:spacing w:after="40"/>
      </w:pPr>
      <w:r>
        <w:rPr>
          <w:sz w:val="19"/>
        </w:rPr>
        <w:t>Key parameters: approval limit ₹10,00,000 (just-below band 5%); round-figure unit ₹1,00,000; after-hours window 22:00-05:00; back-dating beyond 30 days; statistical outliers beyond 3.5 standard deviations (and the IQR fence) per account.</w:t>
      </w:r>
    </w:p>
    <w:p>
      <w:pPr>
        <w:pStyle w:val="ListBullet"/>
        <w:spacing w:after="40"/>
      </w:pPr>
      <w:r>
        <w:rPr>
          <w:sz w:val="19"/>
        </w:rPr>
        <w:t>Risk scoring: each test carries a weight; the score (0-100) bands are Extreme &gt;= 70, High &gt;= 50, Medium &gt;= 30, otherwise Low.</w:t>
      </w:r>
    </w:p>
    <w:p>
      <w:pPr>
        <w:pStyle w:val="ListBullet"/>
        <w:spacing w:after="40"/>
      </w:pPr>
      <w:r>
        <w:rPr>
          <w:sz w:val="19"/>
        </w:rPr>
        <w:t>The matters in this letter are relevant to ICAI SA 240 (the auditor's responsibilities relating to fraud, including management override of controls), SA 315 (identifying and assessing risks), SA 330 (responses to assessed risks) and Section 143(3)(i) of the Companies Act, 2013 (internal financial controls over financial reporting).</w:t>
      </w:r>
    </w:p>
    <w:p>
      <w:pPr>
        <w:pStyle w:val="ListBullet"/>
        <w:spacing w:after="40"/>
      </w:pPr>
      <w:r>
        <w:rPr>
          <w:sz w:val="19"/>
        </w:rPr>
        <w:t>All amounts are in Indian rupees. Entry details, dates, amounts and figures in this letter are taken directly from the ledger by the system; observation wording and recommendations are draft narrative for the engagement team to review.</w:t>
      </w:r>
    </w:p>
    <w:p>
      <w:pPr>
        <w:pStyle w:val="Heading1"/>
      </w:pPr>
      <w:r>
        <w:t>6. Closing</w:t>
      </w:r>
    </w:p>
    <w:p>
      <w:r>
        <w:rPr>
          <w:i w:val="0"/>
        </w:rPr>
        <w:t>Addressing the identified weaknesses will enhance the reliability of the financial reporting process and align Meridian Industries' controls with the expectations of ICAI standards and the Companies Act.</w:t>
      </w:r>
    </w:p>
    <w:p>
      <w:pPr>
        <w:spacing w:after="440"/>
      </w:pPr>
      <w:r>
        <w:rPr>
          <w:i w:val="0"/>
        </w:rPr>
        <w:t>Yours faithfully,</w:t>
      </w:r>
    </w:p>
    <w:p>
      <w:pPr>
        <w:spacing w:after="0"/>
      </w:pPr>
      <w:r>
        <w:rPr>
          <w:i w:val="0"/>
        </w:rPr>
        <w:t>[Name and designation - to be completed]</w:t>
      </w:r>
    </w:p>
    <w:p>
      <w:pPr>
        <w:spacing w:after="200"/>
      </w:pPr>
      <w:r>
        <w:rPr>
          <w:i w:val="0"/>
        </w:rPr>
        <w:t>[Internal Audit / Engagement team]</w:t>
      </w:r>
    </w:p>
    <w:p>
      <w:r>
        <w:rPr>
          <w:i/>
          <w:color w:val="6B7280"/>
          <w:sz w:val="17"/>
        </w:rPr>
        <w:t>Draft - narrative prepared with AI assistance (openai/gpt-oss-120b); figures and entry details generated from the ledger. To be reviewed before issue.</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Meridian Industries Pvt Ltd  |  Management Letter  |  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7"/>
      </w:rPr>
      <w:t>STRICTLY PRIVATE &amp; CONFIDENTIAL  |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