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A78D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5A328EE8" w14:textId="77777777" w:rsidR="00566454" w:rsidRPr="00964193" w:rsidRDefault="00566454" w:rsidP="00964193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64193">
        <w:rPr>
          <w:rFonts w:ascii="Times New Roman" w:hAnsi="Times New Roman" w:cs="Times New Roman"/>
          <w:b/>
          <w:bCs/>
          <w:sz w:val="20"/>
          <w:szCs w:val="20"/>
        </w:rPr>
        <w:t>LEDGERPULSE — ENTERPRISE ACCOUNTS RECEIVABLE &amp; PAYABLE CASH FLOW ACCELERATION PLATFORM</w:t>
      </w:r>
    </w:p>
    <w:p w14:paraId="2724EF39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================================================================================</w:t>
      </w:r>
    </w:p>
    <w:p w14:paraId="4EFA2B42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6E5A5CBD" w14:textId="77777777" w:rsidR="00566454" w:rsidRPr="00964193" w:rsidRDefault="00566454" w:rsidP="0056645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64193">
        <w:rPr>
          <w:rFonts w:ascii="Times New Roman" w:hAnsi="Times New Roman" w:cs="Times New Roman"/>
          <w:b/>
          <w:bCs/>
          <w:sz w:val="20"/>
          <w:szCs w:val="20"/>
        </w:rPr>
        <w:t>PROJECT OVERVIEW:</w:t>
      </w:r>
    </w:p>
    <w:p w14:paraId="1BA4AFBB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64193">
        <w:rPr>
          <w:rFonts w:ascii="Times New Roman" w:hAnsi="Times New Roman" w:cs="Times New Roman"/>
          <w:sz w:val="20"/>
          <w:szCs w:val="20"/>
        </w:rPr>
        <w:t>LedgerPulse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 xml:space="preserve"> is a full-stack Enterprise Accounts Receivable (AR), Accounts Payable (AP), </w:t>
      </w:r>
    </w:p>
    <w:p w14:paraId="17F65029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Aging Analytics, and Cash Flow Acceleration Platform engineered for CFOs, Financial </w:t>
      </w:r>
    </w:p>
    <w:p w14:paraId="5F6DE359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Controllers, Auditors, and Credit Control Teams.</w:t>
      </w:r>
    </w:p>
    <w:p w14:paraId="15B7BEDA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45216BCA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The platform bridges international trade and local commerce by natively supporting </w:t>
      </w:r>
    </w:p>
    <w:p w14:paraId="2E30FFDF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dual-currency financial operations (USD </w:t>
      </w:r>
      <w:r w:rsidRPr="00964193">
        <w:rPr>
          <w:rFonts w:ascii="Cambria Math" w:hAnsi="Cambria Math" w:cs="Cambria Math"/>
          <w:sz w:val="20"/>
          <w:szCs w:val="20"/>
        </w:rPr>
        <w:t>⇄</w:t>
      </w:r>
      <w:r w:rsidRPr="00964193">
        <w:rPr>
          <w:rFonts w:ascii="Times New Roman" w:hAnsi="Times New Roman" w:cs="Times New Roman"/>
          <w:sz w:val="20"/>
          <w:szCs w:val="20"/>
        </w:rPr>
        <w:t xml:space="preserve"> TZS at 1 USD = 2,650 TZS default rate), </w:t>
      </w:r>
    </w:p>
    <w:p w14:paraId="28D4DF89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automated 4-tier dunning reminders with customizable sender identities and CC routing, </w:t>
      </w:r>
    </w:p>
    <w:p w14:paraId="0990563A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real-time aging schedule visualizers (0–30, 31–60, 61–90, 90+ days), trailing 12-month </w:t>
      </w:r>
    </w:p>
    <w:p w14:paraId="01489F2E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DSO calculations, flexible software data / Excel / CSV import with smart header mapping, </w:t>
      </w:r>
    </w:p>
    <w:p w14:paraId="5A0F4C5A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granular Role-Based Access Control (RBAC), and offline Progressive Web App (PWA) reliability.</w:t>
      </w:r>
    </w:p>
    <w:p w14:paraId="17F0EBB8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108FBAAD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</w:t>
      </w:r>
    </w:p>
    <w:p w14:paraId="74F9479A" w14:textId="77777777" w:rsidR="00566454" w:rsidRPr="00964193" w:rsidRDefault="00566454" w:rsidP="0056645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64193">
        <w:rPr>
          <w:rFonts w:ascii="Times New Roman" w:hAnsi="Times New Roman" w:cs="Times New Roman"/>
          <w:b/>
          <w:bCs/>
          <w:sz w:val="20"/>
          <w:szCs w:val="20"/>
        </w:rPr>
        <w:t>1. CORE ARCHITECTURAL MODULES</w:t>
      </w:r>
    </w:p>
    <w:p w14:paraId="1A3CC719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</w:t>
      </w:r>
    </w:p>
    <w:p w14:paraId="28AED024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A. FULL-STACK ARCHITECTURE &amp; TECH STACK:</w:t>
      </w:r>
    </w:p>
    <w:p w14:paraId="5573C88C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Frontend: React 19, TypeScript, Tailwind CSS v4, Motion, Recharts, 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Lucide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-React.</w:t>
      </w:r>
    </w:p>
    <w:p w14:paraId="55E18A09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Backend: Node.js with Express, bundled with 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esbuild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 xml:space="preserve"> into a standalone 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CommonJS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 xml:space="preserve"> binary.</w:t>
      </w:r>
    </w:p>
    <w:p w14:paraId="487959AE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Database / Persistence: Relational in-memory store with seeded enterprise data </w:t>
      </w:r>
    </w:p>
    <w:p w14:paraId="72723CF4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(26 invoices, 10 debtors/vendors, automated reminder rules, DSO history, audit logs).</w:t>
      </w:r>
    </w:p>
    <w:p w14:paraId="2399473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Export Engines: 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jsPDF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 xml:space="preserve"> &amp; 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jsPDF-AutoTable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 xml:space="preserve"> (PDF packs), XLSX (multi-sheet Excel workbooks), </w:t>
      </w:r>
    </w:p>
    <w:p w14:paraId="4A4CE1AA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PapaParse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 xml:space="preserve"> (CSV streaming).</w:t>
      </w:r>
    </w:p>
    <w:p w14:paraId="027A1FD0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AI Intelligence: Google GenAI 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SDK (@</w:t>
      </w:r>
      <w:proofErr w:type="gramEnd"/>
      <w:r w:rsidRPr="00964193">
        <w:rPr>
          <w:rFonts w:ascii="Times New Roman" w:hAnsi="Times New Roman" w:cs="Times New Roman"/>
          <w:sz w:val="20"/>
          <w:szCs w:val="20"/>
        </w:rPr>
        <w:t xml:space="preserve">google/genai) server-side integration for cash </w:t>
      </w:r>
    </w:p>
    <w:p w14:paraId="2223150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flow forecasting, overdue risk analysis, and debtor follow-up strategy.</w:t>
      </w:r>
    </w:p>
    <w:p w14:paraId="36E981D0" w14:textId="77777777" w:rsidR="00566454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355ECD1C" w14:textId="77777777" w:rsidR="00964193" w:rsidRPr="00964193" w:rsidRDefault="00964193" w:rsidP="00566454">
      <w:pPr>
        <w:rPr>
          <w:rFonts w:ascii="Times New Roman" w:hAnsi="Times New Roman" w:cs="Times New Roman"/>
          <w:sz w:val="20"/>
          <w:szCs w:val="20"/>
        </w:rPr>
      </w:pPr>
    </w:p>
    <w:p w14:paraId="3725C6C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lastRenderedPageBreak/>
        <w:t>B. DUAL-CURRENCY ENGINE (USD &amp; TZS):</w:t>
      </w:r>
    </w:p>
    <w:p w14:paraId="3F46AAD0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Global currency switcher in 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Topbar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 xml:space="preserve"> and Sidebar with live exchange rate management </w:t>
      </w:r>
    </w:p>
    <w:p w14:paraId="1513B918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(1 USD = 2,650 Tanzanian Shillings default).</w:t>
      </w:r>
    </w:p>
    <w:p w14:paraId="30B084CB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Interactive modal currency calculator with real-time bidirectional conversion.</w:t>
      </w:r>
    </w:p>
    <w:p w14:paraId="7EE326A0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All financial tables, metric cards, aging schedules, charts, and PDF/Excel exports </w:t>
      </w:r>
    </w:p>
    <w:p w14:paraId="6B4DC1E2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update dynamically based on the active currency.</w:t>
      </w:r>
    </w:p>
    <w:p w14:paraId="2113DB63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11D4282E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C. AGING SCHEDULES &amp; DSO ANALYTICS:</w:t>
      </w:r>
    </w:p>
    <w:p w14:paraId="13161D9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Automatic classification into 5 aging brackets: Current (not due), 0–30 Days Overdue, </w:t>
      </w:r>
    </w:p>
    <w:p w14:paraId="527907A3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31–60 Days Overdue, 61–90 Days Overdue, and 90+ Days Overdue (High Risk).</w:t>
      </w:r>
    </w:p>
    <w:p w14:paraId="0826C864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Recharts horizontal bar chart with interactive bar click drilldown into overdue invoices.</w:t>
      </w:r>
    </w:p>
    <w:p w14:paraId="52E2657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Real-time Days Sales Outstanding (DSO) engine calculating trailing 12-month curve:</w:t>
      </w:r>
    </w:p>
    <w:p w14:paraId="525A73F8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Formula: DSO = (Total Ending Receivables / Total Credit Sales) * Period Days.</w:t>
      </w:r>
    </w:p>
    <w:p w14:paraId="731FDBB7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Collection Effectiveness Index (CEI) tracking (Target &gt; 80%).</w:t>
      </w:r>
    </w:p>
    <w:p w14:paraId="283CE787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Configurable Target Benchmark DSO (default 45 days) with visual variance indicators.</w:t>
      </w:r>
    </w:p>
    <w:p w14:paraId="438AFD2F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461FD76E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D. AUTOMATED DUNNING &amp; MULTI-STAGE ESCALATION:</w:t>
      </w:r>
    </w:p>
    <w:p w14:paraId="4E986B4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- 4-Tier Automated Reminder Cadence:</w:t>
      </w:r>
    </w:p>
    <w:p w14:paraId="485783B7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* Stage 1: Courtesy Reminder (-3 Days before due date)</w:t>
      </w:r>
    </w:p>
    <w:p w14:paraId="6064DAEC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* Stage 2: Due Date Notification (Day 0)</w:t>
      </w:r>
    </w:p>
    <w:p w14:paraId="182F689A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* Stage 3: First Overdue Escalation (+7 Days overdue, CC to Controller)</w:t>
      </w:r>
    </w:p>
    <w:p w14:paraId="6DCC9FC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* Stage 4: Demand &amp; Legal Notice (+15 Days overdue, CC to CFO &amp; Legal)</w:t>
      </w:r>
    </w:p>
    <w:p w14:paraId="5E1997B6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Dynamic token 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templating: {{</w:t>
      </w:r>
      <w:proofErr w:type="spellStart"/>
      <w:proofErr w:type="gramEnd"/>
      <w:r w:rsidRPr="00964193">
        <w:rPr>
          <w:rFonts w:ascii="Times New Roman" w:hAnsi="Times New Roman" w:cs="Times New Roman"/>
          <w:sz w:val="20"/>
          <w:szCs w:val="20"/>
        </w:rPr>
        <w:t>client_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}}, {{</w:t>
      </w:r>
      <w:proofErr w:type="spellStart"/>
      <w:proofErr w:type="gramEnd"/>
      <w:r w:rsidRPr="00964193">
        <w:rPr>
          <w:rFonts w:ascii="Times New Roman" w:hAnsi="Times New Roman" w:cs="Times New Roman"/>
          <w:sz w:val="20"/>
          <w:szCs w:val="20"/>
        </w:rPr>
        <w:t>invoice_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}}, {{</w:t>
      </w:r>
      <w:proofErr w:type="spellStart"/>
      <w:proofErr w:type="gramEnd"/>
      <w:r w:rsidRPr="00964193">
        <w:rPr>
          <w:rFonts w:ascii="Times New Roman" w:hAnsi="Times New Roman" w:cs="Times New Roman"/>
          <w:sz w:val="20"/>
          <w:szCs w:val="20"/>
        </w:rPr>
        <w:t>amount_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due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}},</w:t>
      </w:r>
      <w:proofErr w:type="gramEnd"/>
      <w:r w:rsidRPr="0096419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DE10D7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{{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due_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date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}}, {{</w:t>
      </w:r>
      <w:proofErr w:type="spellStart"/>
      <w:proofErr w:type="gramEnd"/>
      <w:r w:rsidRPr="00964193">
        <w:rPr>
          <w:rFonts w:ascii="Times New Roman" w:hAnsi="Times New Roman" w:cs="Times New Roman"/>
          <w:sz w:val="20"/>
          <w:szCs w:val="20"/>
        </w:rPr>
        <w:t>overdue_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days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}}, {{</w:t>
      </w:r>
      <w:proofErr w:type="spellStart"/>
      <w:proofErr w:type="gramEnd"/>
      <w:r w:rsidRPr="00964193">
        <w:rPr>
          <w:rFonts w:ascii="Times New Roman" w:hAnsi="Times New Roman" w:cs="Times New Roman"/>
          <w:sz w:val="20"/>
          <w:szCs w:val="20"/>
        </w:rPr>
        <w:t>company_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}}, {{</w:t>
      </w:r>
      <w:proofErr w:type="spellStart"/>
      <w:proofErr w:type="gramEnd"/>
      <w:r w:rsidRPr="00964193">
        <w:rPr>
          <w:rFonts w:ascii="Times New Roman" w:hAnsi="Times New Roman" w:cs="Times New Roman"/>
          <w:sz w:val="20"/>
          <w:szCs w:val="20"/>
        </w:rPr>
        <w:t>payment_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link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}}.</w:t>
      </w:r>
      <w:proofErr w:type="gramEnd"/>
    </w:p>
    <w:p w14:paraId="6038B4E9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Customizable Company Sender Identity (From Name, From Email, Reply-To Email, Phone, Address).</w:t>
      </w:r>
    </w:p>
    <w:p w14:paraId="7A81404F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Multi-recipient routing with CC / BCC email support.</w:t>
      </w:r>
    </w:p>
    <w:p w14:paraId="4B8D0598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7C1C6B76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E. CENTRALIZED INVOICE &amp; LEDGER REGISTER:</w:t>
      </w:r>
    </w:p>
    <w:p w14:paraId="69538680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Unified searchable, filterable ledger covering Receivables (Sales) and Payables (Bills).</w:t>
      </w:r>
    </w:p>
    <w:p w14:paraId="445BC76C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Payment allocation dialog supporting partial and full settlements with reference tracking.</w:t>
      </w:r>
    </w:p>
    <w:p w14:paraId="0FFE5BCB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lastRenderedPageBreak/>
        <w:t xml:space="preserve">   - Create invoice modal with automatic due date computation based on credit terms (15, 30, 45, 60 days).</w:t>
      </w:r>
    </w:p>
    <w:p w14:paraId="2C14414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Batch status updates, CSV exports, and debtor follow-up task allocation.</w:t>
      </w:r>
    </w:p>
    <w:p w14:paraId="20183188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5B30FCDB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F. SOFTWARE DATA &amp; EXCEL DATA INGESTION:</w:t>
      </w:r>
    </w:p>
    <w:p w14:paraId="01613E38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Upload support for 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Excel (.</w:t>
      </w:r>
      <w:proofErr w:type="gramEnd"/>
      <w:r w:rsidRPr="00964193">
        <w:rPr>
          <w:rFonts w:ascii="Times New Roman" w:hAnsi="Times New Roman" w:cs="Times New Roman"/>
          <w:sz w:val="20"/>
          <w:szCs w:val="20"/>
        </w:rPr>
        <w:t>xlsx, .</w:t>
      </w:r>
      <w:proofErr w:type="spellStart"/>
      <w:r w:rsidRPr="00964193">
        <w:rPr>
          <w:rFonts w:ascii="Times New Roman" w:hAnsi="Times New Roman" w:cs="Times New Roman"/>
          <w:sz w:val="20"/>
          <w:szCs w:val="20"/>
        </w:rPr>
        <w:t>xls</w:t>
      </w:r>
      <w:proofErr w:type="spellEnd"/>
      <w:r w:rsidRPr="00964193">
        <w:rPr>
          <w:rFonts w:ascii="Times New Roman" w:hAnsi="Times New Roman" w:cs="Times New Roman"/>
          <w:sz w:val="20"/>
          <w:szCs w:val="20"/>
        </w:rPr>
        <w:t>) and CSV files.</w:t>
      </w:r>
    </w:p>
    <w:p w14:paraId="0A9CA9F6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Smart Auto-Mapping Engine identifying columns for Invoice #, Client Name, Date, Due Date, </w:t>
      </w:r>
    </w:p>
    <w:p w14:paraId="3730FE03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Amount, Currency, Status, and Type.</w:t>
      </w:r>
    </w:p>
    <w:p w14:paraId="6D8D8E8B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Pre-ingestion validation preventing malformed records and duplicate entries.</w:t>
      </w:r>
    </w:p>
    <w:p w14:paraId="6AA25DBC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71F2DD38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G. ENTERPRISE RBAC &amp; GOVERNANCE:</w:t>
      </w:r>
    </w:p>
    <w:p w14:paraId="0D1DAB14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- 6 Distinct Role Profiles: CFO, Finance Controller, Data Analysis, Auditor, </w:t>
      </w:r>
    </w:p>
    <w:p w14:paraId="4638C9F3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  Collection Specialist, Data Operator.</w:t>
      </w:r>
    </w:p>
    <w:p w14:paraId="0BA84526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User invitation modal, active/deactivated status toggles, and session audit logs.</w:t>
      </w:r>
    </w:p>
    <w:p w14:paraId="51717C6C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Task allocation engine for assigning high-priority debtor accounts with due dates and call notes.</w:t>
      </w:r>
    </w:p>
    <w:p w14:paraId="09BF2F3A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</w:p>
    <w:p w14:paraId="06837E7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>H. OFFLINE PWA &amp; DESKTOP READINESS:</w:t>
      </w:r>
    </w:p>
    <w:p w14:paraId="7D967BA1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Service Worker </w:t>
      </w:r>
      <w:proofErr w:type="gramStart"/>
      <w:r w:rsidRPr="00964193">
        <w:rPr>
          <w:rFonts w:ascii="Times New Roman" w:hAnsi="Times New Roman" w:cs="Times New Roman"/>
          <w:sz w:val="20"/>
          <w:szCs w:val="20"/>
        </w:rPr>
        <w:t>caching</w:t>
      </w:r>
      <w:proofErr w:type="gramEnd"/>
      <w:r w:rsidRPr="00964193">
        <w:rPr>
          <w:rFonts w:ascii="Times New Roman" w:hAnsi="Times New Roman" w:cs="Times New Roman"/>
          <w:sz w:val="20"/>
          <w:szCs w:val="20"/>
        </w:rPr>
        <w:t xml:space="preserve"> assets and data for offline access.</w:t>
      </w:r>
    </w:p>
    <w:p w14:paraId="1111D3BD" w14:textId="77777777" w:rsidR="005664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PWA installation banner and standalone desktop window capability.</w:t>
      </w:r>
    </w:p>
    <w:p w14:paraId="71EC3A26" w14:textId="73F4C410" w:rsidR="00C87054" w:rsidRPr="00964193" w:rsidRDefault="00566454" w:rsidP="00566454">
      <w:pPr>
        <w:rPr>
          <w:rFonts w:ascii="Times New Roman" w:hAnsi="Times New Roman" w:cs="Times New Roman"/>
          <w:sz w:val="20"/>
          <w:szCs w:val="20"/>
        </w:rPr>
      </w:pPr>
      <w:r w:rsidRPr="00964193">
        <w:rPr>
          <w:rFonts w:ascii="Times New Roman" w:hAnsi="Times New Roman" w:cs="Times New Roman"/>
          <w:sz w:val="20"/>
          <w:szCs w:val="20"/>
        </w:rPr>
        <w:t xml:space="preserve">   - Dark / Light mode switching with theme persistence.</w:t>
      </w:r>
    </w:p>
    <w:sectPr w:rsidR="00C87054" w:rsidRPr="009641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F6"/>
    <w:rsid w:val="002B395A"/>
    <w:rsid w:val="00361A38"/>
    <w:rsid w:val="00566454"/>
    <w:rsid w:val="007F52F6"/>
    <w:rsid w:val="008507F5"/>
    <w:rsid w:val="00920B3E"/>
    <w:rsid w:val="00964193"/>
    <w:rsid w:val="00C87054"/>
    <w:rsid w:val="00CD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E484"/>
  <w15:chartTrackingRefBased/>
  <w15:docId w15:val="{7F4AC7BC-23EA-4D1C-98D0-D3DC02E3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Gandhi</dc:creator>
  <cp:keywords/>
  <dc:description/>
  <cp:lastModifiedBy>Ankit Gandhi</cp:lastModifiedBy>
  <cp:revision>3</cp:revision>
  <dcterms:created xsi:type="dcterms:W3CDTF">2026-08-17T09:10:00Z</dcterms:created>
  <dcterms:modified xsi:type="dcterms:W3CDTF">2026-08-17T10:02:00Z</dcterms:modified>
</cp:coreProperties>
</file>