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6D31" w14:textId="77777777" w:rsidR="001B11BE" w:rsidRDefault="00000000">
      <w:pPr>
        <w:jc w:val="center"/>
      </w:pPr>
      <w:r>
        <w:rPr>
          <w:rFonts w:ascii="Calibri" w:hAnsi="Calibri"/>
          <w:b/>
          <w:color w:val="1F4E78"/>
          <w:sz w:val="60"/>
        </w:rPr>
        <w:t>OFFICE SUITE</w:t>
      </w:r>
    </w:p>
    <w:p w14:paraId="36B5E82A" w14:textId="77777777" w:rsidR="001B11BE" w:rsidRDefault="00000000">
      <w:pPr>
        <w:jc w:val="center"/>
      </w:pPr>
      <w:r>
        <w:rPr>
          <w:rFonts w:ascii="Calibri" w:hAnsi="Calibri"/>
          <w:b/>
          <w:color w:val="2F5597"/>
          <w:sz w:val="32"/>
        </w:rPr>
        <w:t>An On-Premise Enterprise Compliance Shell &amp; Multi-Module Audit Platform</w:t>
      </w:r>
      <w:r>
        <w:rPr>
          <w:rFonts w:ascii="Calibri" w:hAnsi="Calibri"/>
          <w:b/>
          <w:color w:val="2F5597"/>
          <w:sz w:val="32"/>
        </w:rPr>
        <w:br/>
      </w:r>
    </w:p>
    <w:p w14:paraId="7B98545E" w14:textId="77777777" w:rsidR="001B11BE" w:rsidRDefault="00000000">
      <w:pPr>
        <w:jc w:val="center"/>
      </w:pPr>
      <w:r>
        <w:rPr>
          <w:rFonts w:ascii="Calibri" w:hAnsi="Calibri"/>
          <w:i/>
          <w:color w:val="595959"/>
        </w:rPr>
        <w:t>CAPSTONE PROJECT SPECIFICATION: MULTI-MODULE COMPLIANCE, ON-PREMISE LOCAL DEPLOYMENT &amp; DPDP ACT 2023 COMPLIANCE</w:t>
      </w:r>
    </w:p>
    <w:p w14:paraId="1DE9946F" w14:textId="77777777" w:rsidR="001B11BE" w:rsidRDefault="001B11BE"/>
    <w:tbl>
      <w:tblPr>
        <w:tblW w:w="0" w:type="auto"/>
        <w:jc w:val="center"/>
        <w:tblLook w:val="04A0" w:firstRow="1" w:lastRow="0" w:firstColumn="1" w:lastColumn="0" w:noHBand="0" w:noVBand="1"/>
      </w:tblPr>
      <w:tblGrid>
        <w:gridCol w:w="9360"/>
      </w:tblGrid>
      <w:tr w:rsidR="001B11BE" w14:paraId="2C9E822D" w14:textId="77777777">
        <w:trPr>
          <w:jc w:val="center"/>
        </w:trPr>
        <w:tc>
          <w:tcPr>
            <w:tcW w:w="9360" w:type="dxa"/>
            <w:shd w:val="clear" w:color="auto" w:fill="F2F4F8"/>
            <w:tcMar>
              <w:top w:w="160" w:type="dxa"/>
              <w:left w:w="220" w:type="dxa"/>
              <w:bottom w:w="160" w:type="dxa"/>
              <w:right w:w="220" w:type="dxa"/>
            </w:tcMar>
          </w:tcPr>
          <w:p w14:paraId="24F02A96" w14:textId="77777777" w:rsidR="001B11BE" w:rsidRDefault="00000000">
            <w:r>
              <w:rPr>
                <w:b/>
                <w:color w:val="1F4E78"/>
              </w:rPr>
              <w:t>🎓 Project Submission Information</w:t>
            </w:r>
            <w:r>
              <w:rPr>
                <w:b/>
                <w:color w:val="1F4E78"/>
              </w:rPr>
              <w:br/>
            </w:r>
            <w:r>
              <w:rPr>
                <w:color w:val="262626"/>
                <w:sz w:val="20"/>
              </w:rPr>
              <w:t>Project Name: Office Suite - On-Premise Enterprise Compliance &amp; Audit Platform Shell</w:t>
            </w:r>
            <w:r>
              <w:rPr>
                <w:color w:val="262626"/>
                <w:sz w:val="20"/>
              </w:rPr>
              <w:br/>
              <w:t>Domain: FinTech, Statutory Audit Automation, Indirect Tax (GST) &amp; Data Privacy (DPDP Act 2023)</w:t>
            </w:r>
            <w:r>
              <w:rPr>
                <w:color w:val="262626"/>
                <w:sz w:val="20"/>
              </w:rPr>
              <w:br/>
              <w:t>Architecture: Auto-Discovered Modular Micro-Shell (FastAPI + HTML5/ES6) with On-Premise Local Server Hosting</w:t>
            </w:r>
            <w:r>
              <w:rPr>
                <w:color w:val="262626"/>
                <w:sz w:val="20"/>
              </w:rPr>
              <w:br/>
              <w:t>Active Modules: 1. Working Paper Tools (FD Statutory Classification &amp; 26AS 194A Reco) | 2. GST Compliance Tool (GSTR-1/3B Reco &amp; Ledger Tracking)</w:t>
            </w:r>
            <w:r>
              <w:rPr>
                <w:color w:val="262626"/>
                <w:sz w:val="20"/>
              </w:rPr>
              <w:br/>
              <w:t>Deployment Model: On-Premise Local LAN Server (Guarantees 100% Data Sovereignty &amp; DPDP Compliance)</w:t>
            </w:r>
          </w:p>
        </w:tc>
      </w:tr>
    </w:tbl>
    <w:p w14:paraId="57F4CF57" w14:textId="77777777" w:rsidR="001B11BE" w:rsidRDefault="001B11BE"/>
    <w:p w14:paraId="65C31206" w14:textId="77777777" w:rsidR="001B11BE" w:rsidRDefault="00000000">
      <w:pPr>
        <w:pStyle w:val="Heading1"/>
      </w:pPr>
      <w:r>
        <w:rPr>
          <w:rFonts w:ascii="Calibri" w:hAnsi="Calibri"/>
          <w:color w:val="1F4E78"/>
          <w:sz w:val="36"/>
        </w:rPr>
        <w:t>1. Executive Summary &amp; Abstract</w:t>
      </w:r>
    </w:p>
    <w:p w14:paraId="07974CB8" w14:textId="77777777" w:rsidR="001B11BE" w:rsidRDefault="00000000" w:rsidP="00E30CCE">
      <w:pPr>
        <w:jc w:val="both"/>
      </w:pPr>
      <w:r>
        <w:t>In modern accounting firms, Chartered Accountant (CA) practices, and corporate finance departments, managing compliance across diverse regulatory frameworks (such as Companies Act 2013, Income Tax Act 1961, and Central Goods and Services Tax Act 2017) is an increasingly complex, fragmented, and risk-prone operation. Furthermore, the enactment of India's Digital Personal Data Protection (DPDP) Act 2023 has introduced stringent data privacy mandates, making cloud-based third-party compliance software a major data liability for accounting firms handling confidential financial records.</w:t>
      </w:r>
      <w:r>
        <w:br/>
      </w:r>
      <w:r>
        <w:br/>
        <w:t>Office Suite is an enterprise-grade, on-premise modular compliance shell and audit automation system. Built using a lightweight Python FastAPI backend and a responsive Vanilla JS/HTML5 frontend, Office Suite solves regulatory and data privacy challenges by executing 100% locally on the firm's internal local server or intranet. The system features a plug-and-play architecture where specialized compliance tools (such as FD Working Papers and GST Reconciliation) operate as independent, auto-discovered modules.</w:t>
      </w:r>
    </w:p>
    <w:p w14:paraId="5266EED5" w14:textId="77777777" w:rsidR="001B11BE" w:rsidRDefault="00000000">
      <w:pPr>
        <w:pStyle w:val="Heading1"/>
      </w:pPr>
      <w:r>
        <w:rPr>
          <w:rFonts w:ascii="Calibri" w:hAnsi="Calibri"/>
          <w:color w:val="1F4E78"/>
          <w:sz w:val="36"/>
        </w:rPr>
        <w:lastRenderedPageBreak/>
        <w:t>2. Problem Statement &amp; Industry Context</w:t>
      </w:r>
    </w:p>
    <w:p w14:paraId="51E53FDD" w14:textId="77777777" w:rsidR="001B11BE" w:rsidRDefault="00000000">
      <w:pPr>
        <w:pStyle w:val="Heading2"/>
      </w:pPr>
      <w:r>
        <w:rPr>
          <w:rFonts w:ascii="Calibri" w:hAnsi="Calibri"/>
          <w:color w:val="2F5597"/>
          <w:sz w:val="28"/>
        </w:rPr>
        <w:t>2.1 Statutory Audit &amp; Fixed Deposit Classification Bottlenecks</w:t>
      </w:r>
    </w:p>
    <w:p w14:paraId="62CFDCFF" w14:textId="77777777" w:rsidR="001B11BE" w:rsidRDefault="00000000">
      <w:r>
        <w:t>Under Schedule III of the Companies Act 2013, corporate Fixed Deposits (FDs) must be categorized into three distinct statutory liquidity buckets (Class 1: Cash &amp; Cash Equivalents ≤ 90 days, Class 2: Other Current Bank Balances ≤ 365 days, and Class 3: Non-Current Assets &gt; 365 days). Manually computing compounding interest accruals, managing prior-year roll-forwards, and cross-reconciling book interest against TRACES Form 26AS Section 194A records on spreadsheets frequently leads to mathematical errors and audit qualifications.</w:t>
      </w:r>
    </w:p>
    <w:p w14:paraId="5B5E0910" w14:textId="77777777" w:rsidR="001B11BE" w:rsidRDefault="00000000">
      <w:pPr>
        <w:pStyle w:val="Heading2"/>
      </w:pPr>
      <w:r>
        <w:rPr>
          <w:rFonts w:ascii="Calibri" w:hAnsi="Calibri"/>
          <w:color w:val="2F5597"/>
          <w:sz w:val="28"/>
        </w:rPr>
        <w:t>2.2 Goods &amp; Services Tax (GST) Compliance Discrepancies</w:t>
      </w:r>
    </w:p>
    <w:p w14:paraId="418E9044" w14:textId="77777777" w:rsidR="001B11BE" w:rsidRDefault="00000000">
      <w:r>
        <w:t>Under GST law, tax liabilities reported in GSTR-1 (Outward Supplies) must perfectly match GSTR-3B summary returns, while Input Tax Credit (ITC) claimed in GSTR-3B must be reconciled against GSTR-2A/2B supplier filings. Additionally, tracking Electronic Cash &amp; Credit Ledgers manually across monthly returns creates cash flow risks, penalty notices u/s 50 for late filings, and missed tax credits.</w:t>
      </w:r>
    </w:p>
    <w:p w14:paraId="1541584C" w14:textId="77777777" w:rsidR="001B11BE" w:rsidRDefault="00000000">
      <w:pPr>
        <w:pStyle w:val="Heading2"/>
      </w:pPr>
      <w:r>
        <w:rPr>
          <w:rFonts w:ascii="Calibri" w:hAnsi="Calibri"/>
          <w:color w:val="2F5597"/>
          <w:sz w:val="28"/>
        </w:rPr>
        <w:t>2.3 Data Privacy Risks &amp; DPDP Act 2023 Mandates</w:t>
      </w:r>
    </w:p>
    <w:p w14:paraId="06E51C0D" w14:textId="77777777" w:rsidR="001B11BE" w:rsidRDefault="00000000">
      <w:r>
        <w:t>With the passage of the Digital Personal Data Protection (DPDP) Act 2023, accounting firms and corporate enterprises face strict legal obligations regarding client data privacy:</w:t>
      </w:r>
      <w:r>
        <w:br/>
        <w:t>• Cloud Data Transfer Risks: Third-party cloud SaaS solutions store client PAN numbers, bank account details, turnover figures, and personal identifiers on external public servers, exposing firms to data breach liabilities and cross-border transfer violations.</w:t>
      </w:r>
      <w:r>
        <w:br/>
        <w:t>• Third-Party Data Processor Liability: Under DPDP Act 2023, data fiduciaries (CAs and enterprise firms) are legally responsible for any unauthorized processing or leaks occurring on external vendor servers.</w:t>
      </w:r>
    </w:p>
    <w:p w14:paraId="1E71DA4B" w14:textId="77777777" w:rsidR="001B11BE" w:rsidRDefault="00000000">
      <w:pPr>
        <w:pStyle w:val="Heading1"/>
      </w:pPr>
      <w:r>
        <w:rPr>
          <w:rFonts w:ascii="Calibri" w:hAnsi="Calibri"/>
          <w:color w:val="1F4E78"/>
          <w:sz w:val="36"/>
        </w:rPr>
        <w:t>3. Proposed Solution: On-Premise Modular Compliance Platform</w:t>
      </w:r>
    </w:p>
    <w:p w14:paraId="10D0323C" w14:textId="77777777" w:rsidR="001B11BE" w:rsidRDefault="00000000">
      <w:r>
        <w:t>Office Suite introduces an innovative software paradigm designed specifically for professional accounting practices and corporate tax departments:</w:t>
      </w:r>
      <w:r>
        <w:br/>
      </w:r>
      <w:r>
        <w:br/>
        <w:t>1. On-Premise Local Server Deployment (100% DPDP Act 2023 Compliant):</w:t>
      </w:r>
      <w:r>
        <w:br/>
        <w:t xml:space="preserve">   Office Suite runs directly on the CA firm's or company's local computer/intranet server (e.g., http://localhost:8000 or 192.168.x.x LAN server). All database files (SQLite wp_data.db and gst_tool.db) reside on local physical hard drives. Zero financial data ever leaves the firm's local network, ensuring absolute data privacy and full DPDP Act compliance.</w:t>
      </w:r>
      <w:r>
        <w:br/>
      </w:r>
      <w:r>
        <w:br/>
        <w:t>2. Auto-Discovery Plug-and-Play Micro-Shell:</w:t>
      </w:r>
      <w:r>
        <w:br/>
        <w:t xml:space="preserve">   The system core (core/main.py) dynamically scans the modules/ directory on startup. Any new module containing a valid manifest.json file is automatically detected and rendered as a card on the </w:t>
      </w:r>
      <w:r>
        <w:lastRenderedPageBreak/>
        <w:t>main launchpad screen without altering the core codebase.</w:t>
      </w:r>
      <w:r>
        <w:br/>
      </w:r>
      <w:r>
        <w:br/>
        <w:t>3. Module-Level Data &amp; Party Isolation:</w:t>
      </w:r>
      <w:r>
        <w:br/>
        <w:t xml:space="preserve">   Each module maintains its own database schema and party/client records. Deleting an entity in the Working Paper Tools module deletes records in wp_data.db only and does NOT alter or remove client records in the GST Tool (gst_tool.db).</w:t>
      </w:r>
    </w:p>
    <w:p w14:paraId="1E23EA1C" w14:textId="77777777" w:rsidR="001B11BE" w:rsidRDefault="00000000">
      <w:pPr>
        <w:pStyle w:val="Heading1"/>
      </w:pPr>
      <w:r>
        <w:rPr>
          <w:rFonts w:ascii="Calibri" w:hAnsi="Calibri"/>
          <w:color w:val="1F4E78"/>
          <w:sz w:val="36"/>
        </w:rPr>
        <w:t>4. Comprehensive Active Modules Breakdown</w:t>
      </w:r>
    </w:p>
    <w:p w14:paraId="62D9047E" w14:textId="77777777" w:rsidR="001B11BE" w:rsidRDefault="00000000">
      <w:pPr>
        <w:pStyle w:val="Heading2"/>
      </w:pPr>
      <w:r>
        <w:rPr>
          <w:rFonts w:ascii="Calibri" w:hAnsi="Calibri"/>
          <w:color w:val="2F5597"/>
          <w:sz w:val="28"/>
        </w:rPr>
        <w:t>4.1 Module 1: Working Paper Tools (FD Classification &amp; 26AS Fuzzy Reco)</w:t>
      </w:r>
    </w:p>
    <w:p w14:paraId="3A8E4B30" w14:textId="77777777" w:rsidR="001B11BE" w:rsidRDefault="00000000">
      <w:r>
        <w:t>• Schedule III Classification Engine: Computes daily compound interest accruals, remaining maturity days, and auto-classifies FDs into Class 1, Class 2, and Class 3 statutory buckets.</w:t>
      </w:r>
      <w:r>
        <w:br/>
        <w:t>• Automatic PY Roll-Forward: Rolls forward active prior-year FDs into target financial years with closing-to-opening balance mapping.</w:t>
      </w:r>
      <w:r>
        <w:br/>
        <w:t>• TRACES 26AS PDF/CSV Parser &amp; Fuzzy Reconciler: Parses 26AS Section 194A entries, normalizes bank deductor names, and uses string distance algorithms (SequenceMatcher) to calculate interest variances.</w:t>
      </w:r>
      <w:r>
        <w:br/>
        <w:t>• 4-Sheet Formula Excel Export: Exports formula-linked audit workbooks (.xlsx) with live =SUMIF and =SUM cell linking.</w:t>
      </w:r>
    </w:p>
    <w:p w14:paraId="7FE73C1D" w14:textId="77777777" w:rsidR="001B11BE" w:rsidRDefault="00000000">
      <w:pPr>
        <w:pStyle w:val="Heading2"/>
      </w:pPr>
      <w:r>
        <w:rPr>
          <w:rFonts w:ascii="Calibri" w:hAnsi="Calibri"/>
          <w:color w:val="2F5597"/>
          <w:sz w:val="28"/>
        </w:rPr>
        <w:t>4.2 Module 2: GST Management &amp; Reconciliation Tool</w:t>
      </w:r>
    </w:p>
    <w:p w14:paraId="64FA0FE8" w14:textId="77777777" w:rsidR="001B11BE" w:rsidRDefault="00000000">
      <w:r>
        <w:t>• GSTR-1 vs GSTR-3B Filing Reconciliation: Compares B2B supplies, B2C sales, zero-rated exports, and tax liabilities across monthly returns to flag turnover variances.</w:t>
      </w:r>
      <w:r>
        <w:br/>
        <w:t>• Input Tax Credit (ITC) Matching: Reconciles GSTR-3B Section 4(A) ITC claimed against GSTR-2A/2B eligible credits to prevent improper claims.</w:t>
      </w:r>
      <w:r>
        <w:br/>
        <w:t>• Electronic Cash &amp; Credit Ledger Tracking: Tracks cash ledger balances, ITC utilization, interest paid, and late fees.</w:t>
      </w:r>
      <w:r>
        <w:br/>
        <w:t>• REG-06 Registration PDF Parser: Automatically parses GST registration certificates (REG-06) to extract Legal Name, Trade Name, GSTIN, and Jurisdiction.</w:t>
      </w:r>
    </w:p>
    <w:p w14:paraId="68411C5B" w14:textId="77777777" w:rsidR="001B11BE" w:rsidRDefault="00000000">
      <w:r>
        <w:br w:type="page"/>
      </w:r>
    </w:p>
    <w:p w14:paraId="24E9D089" w14:textId="77777777" w:rsidR="001B11BE" w:rsidRDefault="00000000">
      <w:pPr>
        <w:pStyle w:val="Heading1"/>
      </w:pPr>
      <w:r>
        <w:rPr>
          <w:rFonts w:ascii="Calibri" w:hAnsi="Calibri"/>
          <w:color w:val="1F4E78"/>
          <w:sz w:val="36"/>
        </w:rPr>
        <w:lastRenderedPageBreak/>
        <w:t>5. Unlimited Future Module Expansion Engine</w:t>
      </w:r>
    </w:p>
    <w:p w14:paraId="38F1ECD0" w14:textId="77777777" w:rsidR="001B11BE" w:rsidRDefault="00000000">
      <w:r>
        <w:t>Because Office Suite utilizes a manifest-driven architecture, CA firms and enterprise IT teams can easily develop and host unlimited future compliance tools on their local server:</w:t>
      </w:r>
      <w:r>
        <w:br/>
      </w:r>
      <w:r>
        <w:br/>
        <w:t>• Future Module 1: Income Tax Return (ITR) Computation Tool (modules/income_tax_tool):</w:t>
      </w:r>
      <w:r>
        <w:br/>
        <w:t xml:space="preserve">  Computation of Total Income, Chapter VI-A deductions, Old vs. New Tax Regime comparisons, and XML/JSON ITR schema generation.</w:t>
      </w:r>
      <w:r>
        <w:br/>
      </w:r>
      <w:r>
        <w:br/>
        <w:t>• Future Module 2: E-Invoicing &amp; E-Way Bill Utility (modules/einvoice_tool):</w:t>
      </w:r>
      <w:r>
        <w:br/>
        <w:t xml:space="preserve">  Local validation of B2B invoices and bulk JSON generation for IRN portal submission.</w:t>
      </w:r>
      <w:r>
        <w:br/>
      </w:r>
      <w:r>
        <w:br/>
        <w:t>• Future Module 3: Statutory Audit Sampling &amp; Analytical Procedures (modules/audit_sampling):</w:t>
      </w:r>
      <w:r>
        <w:br/>
        <w:t xml:space="preserve">  Monetary Unit Sampling (MUS), Benford's Law anomaly detection, and ledger transaction sampling.</w:t>
      </w:r>
      <w:r>
        <w:br/>
      </w:r>
      <w:r>
        <w:br/>
        <w:t>• Future Module 4: TDS Return 26Q / 27EQ Assistant (modules/tds_tool):</w:t>
      </w:r>
      <w:r>
        <w:br/>
        <w:t xml:space="preserve">  Quarterly TDS return computation, lower deduction certificate tracking, and FVU file validation.</w:t>
      </w:r>
    </w:p>
    <w:p w14:paraId="3416C79F" w14:textId="77777777" w:rsidR="001B11BE" w:rsidRDefault="00000000">
      <w:pPr>
        <w:pStyle w:val="Heading1"/>
      </w:pPr>
      <w:r>
        <w:rPr>
          <w:rFonts w:ascii="Calibri" w:hAnsi="Calibri"/>
          <w:color w:val="1F4E78"/>
          <w:sz w:val="36"/>
        </w:rPr>
        <w:t>6. Technology Stack &amp; Architecture Specifications</w:t>
      </w:r>
    </w:p>
    <w:tbl>
      <w:tblPr>
        <w:tblW w:w="0" w:type="auto"/>
        <w:jc w:val="center"/>
        <w:tblLook w:val="04A0" w:firstRow="1" w:lastRow="0" w:firstColumn="1" w:lastColumn="0" w:noHBand="0" w:noVBand="1"/>
      </w:tblPr>
      <w:tblGrid>
        <w:gridCol w:w="3120"/>
        <w:gridCol w:w="3120"/>
        <w:gridCol w:w="3120"/>
      </w:tblGrid>
      <w:tr w:rsidR="001B11BE" w14:paraId="7D3E7869" w14:textId="77777777">
        <w:trPr>
          <w:jc w:val="center"/>
        </w:trPr>
        <w:tc>
          <w:tcPr>
            <w:tcW w:w="3120" w:type="dxa"/>
            <w:shd w:val="clear" w:color="auto" w:fill="1F4E78"/>
          </w:tcPr>
          <w:p w14:paraId="68F4F35B" w14:textId="77777777" w:rsidR="001B11BE" w:rsidRDefault="00000000">
            <w:r>
              <w:rPr>
                <w:b/>
                <w:color w:val="FFFFFF"/>
              </w:rPr>
              <w:t>Layer / Component</w:t>
            </w:r>
          </w:p>
        </w:tc>
        <w:tc>
          <w:tcPr>
            <w:tcW w:w="3120" w:type="dxa"/>
            <w:shd w:val="clear" w:color="auto" w:fill="1F4E78"/>
          </w:tcPr>
          <w:p w14:paraId="1828C6AC" w14:textId="77777777" w:rsidR="001B11BE" w:rsidRDefault="00000000">
            <w:r>
              <w:rPr>
                <w:b/>
                <w:color w:val="FFFFFF"/>
              </w:rPr>
              <w:t>Technology Selected</w:t>
            </w:r>
          </w:p>
        </w:tc>
        <w:tc>
          <w:tcPr>
            <w:tcW w:w="3120" w:type="dxa"/>
            <w:shd w:val="clear" w:color="auto" w:fill="1F4E78"/>
          </w:tcPr>
          <w:p w14:paraId="6F5A7B70" w14:textId="77777777" w:rsidR="001B11BE" w:rsidRDefault="00000000">
            <w:r>
              <w:rPr>
                <w:b/>
                <w:color w:val="FFFFFF"/>
              </w:rPr>
              <w:t>Role &amp; Functionality in System</w:t>
            </w:r>
          </w:p>
        </w:tc>
      </w:tr>
      <w:tr w:rsidR="001B11BE" w14:paraId="7455D9B7" w14:textId="77777777">
        <w:trPr>
          <w:jc w:val="center"/>
        </w:trPr>
        <w:tc>
          <w:tcPr>
            <w:tcW w:w="3120" w:type="dxa"/>
            <w:shd w:val="clear" w:color="auto" w:fill="FFFFFF"/>
          </w:tcPr>
          <w:p w14:paraId="609E56BE" w14:textId="77777777" w:rsidR="001B11BE" w:rsidRDefault="00000000">
            <w:r>
              <w:rPr>
                <w:b/>
              </w:rPr>
              <w:t>Backend Framework</w:t>
            </w:r>
          </w:p>
        </w:tc>
        <w:tc>
          <w:tcPr>
            <w:tcW w:w="3120" w:type="dxa"/>
            <w:shd w:val="clear" w:color="auto" w:fill="FFFFFF"/>
          </w:tcPr>
          <w:p w14:paraId="3572A7F1" w14:textId="77777777" w:rsidR="001B11BE" w:rsidRDefault="00000000">
            <w:r>
              <w:t>Python 3.12 / FastAPI</w:t>
            </w:r>
          </w:p>
        </w:tc>
        <w:tc>
          <w:tcPr>
            <w:tcW w:w="3120" w:type="dxa"/>
            <w:shd w:val="clear" w:color="auto" w:fill="FFFFFF"/>
          </w:tcPr>
          <w:p w14:paraId="0AA19821" w14:textId="77777777" w:rsidR="001B11BE" w:rsidRDefault="00000000">
            <w:r>
              <w:t>High-performance asynchronous REST API routing and OpenAPI documentation</w:t>
            </w:r>
          </w:p>
        </w:tc>
      </w:tr>
      <w:tr w:rsidR="001B11BE" w14:paraId="6D7EED66" w14:textId="77777777">
        <w:trPr>
          <w:jc w:val="center"/>
        </w:trPr>
        <w:tc>
          <w:tcPr>
            <w:tcW w:w="3120" w:type="dxa"/>
            <w:shd w:val="clear" w:color="auto" w:fill="F9FAFB"/>
          </w:tcPr>
          <w:p w14:paraId="1C8E365F" w14:textId="77777777" w:rsidR="001B11BE" w:rsidRDefault="00000000">
            <w:r>
              <w:rPr>
                <w:b/>
              </w:rPr>
              <w:t>ASGI Web Server</w:t>
            </w:r>
          </w:p>
        </w:tc>
        <w:tc>
          <w:tcPr>
            <w:tcW w:w="3120" w:type="dxa"/>
            <w:shd w:val="clear" w:color="auto" w:fill="F9FAFB"/>
          </w:tcPr>
          <w:p w14:paraId="16C89BC7" w14:textId="77777777" w:rsidR="001B11BE" w:rsidRDefault="00000000">
            <w:r>
              <w:t>Uvicorn</w:t>
            </w:r>
          </w:p>
        </w:tc>
        <w:tc>
          <w:tcPr>
            <w:tcW w:w="3120" w:type="dxa"/>
            <w:shd w:val="clear" w:color="auto" w:fill="F9FAFB"/>
          </w:tcPr>
          <w:p w14:paraId="290CDCCA" w14:textId="77777777" w:rsidR="001B11BE" w:rsidRDefault="00000000">
            <w:r>
              <w:t>ASGI web server hosting local intranet shell on port 8000</w:t>
            </w:r>
          </w:p>
        </w:tc>
      </w:tr>
      <w:tr w:rsidR="001B11BE" w14:paraId="30219260" w14:textId="77777777">
        <w:trPr>
          <w:jc w:val="center"/>
        </w:trPr>
        <w:tc>
          <w:tcPr>
            <w:tcW w:w="3120" w:type="dxa"/>
            <w:shd w:val="clear" w:color="auto" w:fill="FFFFFF"/>
          </w:tcPr>
          <w:p w14:paraId="39664EDA" w14:textId="77777777" w:rsidR="001B11BE" w:rsidRDefault="00000000">
            <w:r>
              <w:rPr>
                <w:b/>
              </w:rPr>
              <w:t>Database Layer</w:t>
            </w:r>
          </w:p>
        </w:tc>
        <w:tc>
          <w:tcPr>
            <w:tcW w:w="3120" w:type="dxa"/>
            <w:shd w:val="clear" w:color="auto" w:fill="FFFFFF"/>
          </w:tcPr>
          <w:p w14:paraId="24EBD125" w14:textId="77777777" w:rsidR="001B11BE" w:rsidRDefault="00000000">
            <w:r>
              <w:t>SQLite / SQLAlchemy ORM</w:t>
            </w:r>
          </w:p>
        </w:tc>
        <w:tc>
          <w:tcPr>
            <w:tcW w:w="3120" w:type="dxa"/>
            <w:shd w:val="clear" w:color="auto" w:fill="FFFFFF"/>
          </w:tcPr>
          <w:p w14:paraId="05C34B04" w14:textId="77777777" w:rsidR="001B11BE" w:rsidRDefault="00000000">
            <w:r>
              <w:t>Standalone per-module database storage (wp_data.db &amp; gst_tool.db)</w:t>
            </w:r>
          </w:p>
        </w:tc>
      </w:tr>
      <w:tr w:rsidR="001B11BE" w14:paraId="69CCA7E2" w14:textId="77777777">
        <w:trPr>
          <w:jc w:val="center"/>
        </w:trPr>
        <w:tc>
          <w:tcPr>
            <w:tcW w:w="3120" w:type="dxa"/>
            <w:shd w:val="clear" w:color="auto" w:fill="F9FAFB"/>
          </w:tcPr>
          <w:p w14:paraId="12F93004" w14:textId="77777777" w:rsidR="001B11BE" w:rsidRDefault="00000000">
            <w:r>
              <w:rPr>
                <w:b/>
              </w:rPr>
              <w:t>Excel &amp; Document Engine</w:t>
            </w:r>
          </w:p>
        </w:tc>
        <w:tc>
          <w:tcPr>
            <w:tcW w:w="3120" w:type="dxa"/>
            <w:shd w:val="clear" w:color="auto" w:fill="F9FAFB"/>
          </w:tcPr>
          <w:p w14:paraId="7CB3B356" w14:textId="77777777" w:rsidR="001B11BE" w:rsidRDefault="00000000">
            <w:r>
              <w:t>OpenPyXL / python-docx</w:t>
            </w:r>
          </w:p>
        </w:tc>
        <w:tc>
          <w:tcPr>
            <w:tcW w:w="3120" w:type="dxa"/>
            <w:shd w:val="clear" w:color="auto" w:fill="F9FAFB"/>
          </w:tcPr>
          <w:p w14:paraId="14F3D8B1" w14:textId="77777777" w:rsidR="001B11BE" w:rsidRDefault="00000000">
            <w:r>
              <w:t>Generation of formula-linked 4-sheet audit workbooks (.xlsx) &amp; Word reports</w:t>
            </w:r>
          </w:p>
        </w:tc>
      </w:tr>
      <w:tr w:rsidR="001B11BE" w14:paraId="356C5654" w14:textId="77777777">
        <w:trPr>
          <w:jc w:val="center"/>
        </w:trPr>
        <w:tc>
          <w:tcPr>
            <w:tcW w:w="3120" w:type="dxa"/>
            <w:shd w:val="clear" w:color="auto" w:fill="FFFFFF"/>
          </w:tcPr>
          <w:p w14:paraId="6B518209" w14:textId="77777777" w:rsidR="001B11BE" w:rsidRDefault="00000000">
            <w:r>
              <w:rPr>
                <w:b/>
              </w:rPr>
              <w:t>Parsing &amp; Matching Engine</w:t>
            </w:r>
          </w:p>
        </w:tc>
        <w:tc>
          <w:tcPr>
            <w:tcW w:w="3120" w:type="dxa"/>
            <w:shd w:val="clear" w:color="auto" w:fill="FFFFFF"/>
          </w:tcPr>
          <w:p w14:paraId="30F6738E" w14:textId="77777777" w:rsidR="001B11BE" w:rsidRDefault="00000000">
            <w:r>
              <w:t>pdfplumber, csv &amp; difflib</w:t>
            </w:r>
          </w:p>
        </w:tc>
        <w:tc>
          <w:tcPr>
            <w:tcW w:w="3120" w:type="dxa"/>
            <w:shd w:val="clear" w:color="auto" w:fill="FFFFFF"/>
          </w:tcPr>
          <w:p w14:paraId="79BBD1CB" w14:textId="77777777" w:rsidR="001B11BE" w:rsidRDefault="00000000">
            <w:r>
              <w:t>TRACES 26AS PDF/CSV 194A parser &amp; string distance fuzzy bank matcher</w:t>
            </w:r>
          </w:p>
        </w:tc>
      </w:tr>
      <w:tr w:rsidR="001B11BE" w14:paraId="4D75402B" w14:textId="77777777">
        <w:trPr>
          <w:jc w:val="center"/>
        </w:trPr>
        <w:tc>
          <w:tcPr>
            <w:tcW w:w="3120" w:type="dxa"/>
            <w:shd w:val="clear" w:color="auto" w:fill="F9FAFB"/>
          </w:tcPr>
          <w:p w14:paraId="1838987A" w14:textId="77777777" w:rsidR="001B11BE" w:rsidRDefault="00000000">
            <w:r>
              <w:rPr>
                <w:b/>
              </w:rPr>
              <w:lastRenderedPageBreak/>
              <w:t>Frontend UI Framework</w:t>
            </w:r>
          </w:p>
        </w:tc>
        <w:tc>
          <w:tcPr>
            <w:tcW w:w="3120" w:type="dxa"/>
            <w:shd w:val="clear" w:color="auto" w:fill="F9FAFB"/>
          </w:tcPr>
          <w:p w14:paraId="4E3E507E" w14:textId="77777777" w:rsidR="001B11BE" w:rsidRDefault="00000000">
            <w:r>
              <w:t>HTML5 / ES6 Vanilla JS / CSS3</w:t>
            </w:r>
          </w:p>
        </w:tc>
        <w:tc>
          <w:tcPr>
            <w:tcW w:w="3120" w:type="dxa"/>
            <w:shd w:val="clear" w:color="auto" w:fill="F9FAFB"/>
          </w:tcPr>
          <w:p w14:paraId="47A2D940" w14:textId="77777777" w:rsidR="001B11BE" w:rsidRDefault="00000000">
            <w:r>
              <w:t>Responsive glassmorphism UI, live 6-tile summary grid, drag-and-drop dropzones</w:t>
            </w:r>
          </w:p>
        </w:tc>
      </w:tr>
      <w:tr w:rsidR="001B11BE" w14:paraId="77035265" w14:textId="77777777">
        <w:trPr>
          <w:jc w:val="center"/>
        </w:trPr>
        <w:tc>
          <w:tcPr>
            <w:tcW w:w="3120" w:type="dxa"/>
            <w:shd w:val="clear" w:color="auto" w:fill="FFFFFF"/>
          </w:tcPr>
          <w:p w14:paraId="262B9C3F" w14:textId="77777777" w:rsidR="001B11BE" w:rsidRDefault="00000000">
            <w:r>
              <w:rPr>
                <w:b/>
              </w:rPr>
              <w:t>Architecture Shell</w:t>
            </w:r>
          </w:p>
        </w:tc>
        <w:tc>
          <w:tcPr>
            <w:tcW w:w="3120" w:type="dxa"/>
            <w:shd w:val="clear" w:color="auto" w:fill="FFFFFF"/>
          </w:tcPr>
          <w:p w14:paraId="7215E291" w14:textId="77777777" w:rsidR="001B11BE" w:rsidRDefault="00000000">
            <w:r>
              <w:t>Dynamic Manifest Auto-Discovery</w:t>
            </w:r>
          </w:p>
        </w:tc>
        <w:tc>
          <w:tcPr>
            <w:tcW w:w="3120" w:type="dxa"/>
            <w:shd w:val="clear" w:color="auto" w:fill="FFFFFF"/>
          </w:tcPr>
          <w:p w14:paraId="4CA1D208" w14:textId="77777777" w:rsidR="001B11BE" w:rsidRDefault="00000000">
            <w:r>
              <w:t>Auto-scanning manifest.json engine for plug-and-play module expansion</w:t>
            </w:r>
          </w:p>
        </w:tc>
      </w:tr>
    </w:tbl>
    <w:p w14:paraId="557CF68F" w14:textId="77777777" w:rsidR="001B11BE" w:rsidRDefault="001B11BE"/>
    <w:p w14:paraId="360BAE2E" w14:textId="77777777" w:rsidR="001B11BE" w:rsidRDefault="00000000">
      <w:pPr>
        <w:pStyle w:val="Heading1"/>
      </w:pPr>
      <w:r>
        <w:rPr>
          <w:rFonts w:ascii="Calibri" w:hAnsi="Calibri"/>
          <w:color w:val="1F4E78"/>
          <w:sz w:val="36"/>
        </w:rPr>
        <w:t>7. Conclusion</w:t>
      </w:r>
    </w:p>
    <w:p w14:paraId="7925F991" w14:textId="77777777" w:rsidR="001B11BE" w:rsidRDefault="00000000">
      <w:r>
        <w:t>Office Suite provides a revolutionary, secure, and extensible compliance infrastructure for Chartered Accountant firms and enterprise organizations. By combining Schedule III FD classification, 26AS Section 194A fuzzy reconciliation, GST turnover &amp; ITC matching, and on-premise local server hosting, Office Suite eliminates regulatory penalties while guaranteeing 100% compliance with India's Digital Personal Data Protection (DPDP) Act 2023.</w:t>
      </w:r>
    </w:p>
    <w:sectPr w:rsidR="001B11B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087425">
    <w:abstractNumId w:val="8"/>
  </w:num>
  <w:num w:numId="2" w16cid:durableId="559439496">
    <w:abstractNumId w:val="6"/>
  </w:num>
  <w:num w:numId="3" w16cid:durableId="1249341484">
    <w:abstractNumId w:val="5"/>
  </w:num>
  <w:num w:numId="4" w16cid:durableId="1842236352">
    <w:abstractNumId w:val="4"/>
  </w:num>
  <w:num w:numId="5" w16cid:durableId="681592173">
    <w:abstractNumId w:val="7"/>
  </w:num>
  <w:num w:numId="6" w16cid:durableId="822039232">
    <w:abstractNumId w:val="3"/>
  </w:num>
  <w:num w:numId="7" w16cid:durableId="248733729">
    <w:abstractNumId w:val="2"/>
  </w:num>
  <w:num w:numId="8" w16cid:durableId="498277040">
    <w:abstractNumId w:val="1"/>
  </w:num>
  <w:num w:numId="9" w16cid:durableId="52587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BE"/>
    <w:rsid w:val="0029639D"/>
    <w:rsid w:val="00326F90"/>
    <w:rsid w:val="00AA1D8D"/>
    <w:rsid w:val="00B47730"/>
    <w:rsid w:val="00C779DC"/>
    <w:rsid w:val="00CB0664"/>
    <w:rsid w:val="00E30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F55DE7-B230-446C-A50E-E0B6F762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Bindal</cp:lastModifiedBy>
  <cp:revision>2</cp:revision>
  <dcterms:created xsi:type="dcterms:W3CDTF">2013-12-23T23:15:00Z</dcterms:created>
  <dcterms:modified xsi:type="dcterms:W3CDTF">2026-08-18T07:56:00Z</dcterms:modified>
  <cp:category/>
</cp:coreProperties>
</file>