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8"/>
          <w:sz w:val="56"/>
        </w:rPr>
        <w:t>OFFICE SUITE</w:t>
      </w:r>
    </w:p>
    <w:p>
      <w:pPr>
        <w:jc w:val="center"/>
      </w:pPr>
      <w:r>
        <w:rPr>
          <w:rFonts w:ascii="Calibri" w:hAnsi="Calibri"/>
          <w:b/>
          <w:color w:val="2F5597"/>
          <w:sz w:val="32"/>
        </w:rPr>
        <w:t>5-Minute Capstone Video Presentation Script &amp; Screen Cues</w:t>
        <w:br/>
      </w:r>
    </w:p>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180" w:type="dxa"/>
              <w:right w:w="180" w:type="dxa"/>
            </w:tcMar>
          </w:tcPr>
          <w:p>
            <w:r>
              <w:rPr>
                <w:b/>
                <w:color w:val="1F4E78"/>
                <w:sz w:val="22"/>
              </w:rPr>
              <w:t>🎙️ Teleprompter &amp; Recording Guidelines</w:t>
              <w:br/>
            </w:r>
            <w:r>
              <w:rPr>
                <w:color w:val="262626"/>
                <w:sz w:val="20"/>
              </w:rPr>
              <w:t>• Total Speaking Time: Exactly 5 Minutes (~720 words spoken at 144 words/minute)</w:t>
              <w:br/>
              <w:t>• Instructions: Speak clearly and naturally. Follow the [SCREEN CUE] notes to switch browser tabs or highlight features on screen during recording.</w:t>
            </w:r>
          </w:p>
        </w:tc>
      </w:tr>
    </w:tbl>
    <w:p/>
    <w:p>
      <w:pPr>
        <w:pStyle w:val="Heading1"/>
      </w:pPr>
      <w:r>
        <w:rPr>
          <w:rFonts w:ascii="Calibri" w:hAnsi="Calibri"/>
          <w:b/>
          <w:color w:val="1F4E78"/>
          <w:sz w:val="30"/>
        </w:rPr>
        <w:t>0:00 - 0:45 | Part 1: Project Introduction &amp; Vision</w:t>
      </w:r>
    </w:p>
    <w:p>
      <w:r>
        <w:rPr>
          <w:rFonts w:ascii="Calibri" w:hAnsi="Calibri"/>
          <w:b/>
          <w:i/>
          <w:color w:val="2F5597"/>
          <w:sz w:val="20"/>
        </w:rPr>
        <w:t>[SCREEN CUE: Show Main Dashboard at http://localhost:8000 displaying module cards]</w:t>
      </w:r>
    </w:p>
    <w:p>
      <w:r>
        <w:rPr>
          <w:rFonts w:ascii="Calibri" w:hAnsi="Calibri"/>
          <w:color w:val="262626"/>
          <w:sz w:val="22"/>
        </w:rPr>
        <w:t>Hello everyone! Today, I am excited to present my Capstone Project: Office Suite — an intelligent, on-premise modular compliance shell and automated audit platform designed for Chartered Accountant firms and corporate finance departments.</w:t>
        <w:br/>
        <w:br/>
        <w:t>In the financial compliance domain, professionals spend hundreds of hours manually categorizing investments, cross-reconciling tax returns, and auditing GST filings. Office Suite automates these statutory workflows using a lightweight Python FastAPI backend and an interactive HTML5 micro-frontend shell — hosted completely on a firm's local server to guarantee 100% data privacy.</w:t>
      </w:r>
    </w:p>
    <w:p/>
    <w:p>
      <w:pPr>
        <w:pStyle w:val="Heading1"/>
      </w:pPr>
      <w:r>
        <w:rPr>
          <w:rFonts w:ascii="Calibri" w:hAnsi="Calibri"/>
          <w:b/>
          <w:color w:val="1F4E78"/>
          <w:sz w:val="30"/>
        </w:rPr>
        <w:t>0:45 - 1:45 | Part 2: Industry Challenges &amp; Problem Statement</w:t>
      </w:r>
    </w:p>
    <w:p>
      <w:r>
        <w:rPr>
          <w:rFonts w:ascii="Calibri" w:hAnsi="Calibri"/>
          <w:b/>
          <w:i/>
          <w:color w:val="2F5597"/>
          <w:sz w:val="20"/>
        </w:rPr>
        <w:t>[SCREEN CUE: Show FD Working Paper Workspace &amp; Summary Cards]</w:t>
      </w:r>
    </w:p>
    <w:p>
      <w:r>
        <w:rPr>
          <w:rFonts w:ascii="Calibri" w:hAnsi="Calibri"/>
          <w:color w:val="262626"/>
          <w:sz w:val="22"/>
        </w:rPr>
        <w:t>Let's look at the critical problem this software solves.</w:t>
        <w:br/>
        <w:br/>
        <w:t>First, under Schedule III of the Companies Act 2013, corporate Fixed Deposits must be categorized into three statutory liquidity buckets based on maturity cutoffs: Cash Equivalents under 90 days, Other Current Balances under 365 days, and Non-Current Assets over 365 days. Manual computation on spreadsheets often leads to mathematical errors and audit qualifications.</w:t>
        <w:br/>
        <w:br/>
        <w:t>Second, interest income in financial books frequently mismatches TRACES Form 26AS Section 194A TDS records, triggering automated income tax discrepancy notices.</w:t>
        <w:br/>
        <w:br/>
        <w:t>Third, in GST compliance, turnover and Input Tax Credit mismatches between GSTR-1, GSTR-3B, and GSTR-2B create severe tax liabilities.</w:t>
        <w:br/>
        <w:br/>
        <w:t>Finally, under India's Digital Personal Data Protection Act 2023, uploading sensitive client financial data to public cloud SaaS tools creates major legal privacy risks.</w:t>
      </w:r>
    </w:p>
    <w:p/>
    <w:p>
      <w:pPr>
        <w:pStyle w:val="Heading1"/>
      </w:pPr>
      <w:r>
        <w:rPr>
          <w:rFonts w:ascii="Calibri" w:hAnsi="Calibri"/>
          <w:b/>
          <w:color w:val="1F4E78"/>
          <w:sz w:val="30"/>
        </w:rPr>
        <w:t>1:45 - 3:00 | Part 3: Live Solution Demonstration</w:t>
      </w:r>
    </w:p>
    <w:p>
      <w:r>
        <w:rPr>
          <w:rFonts w:ascii="Calibri" w:hAnsi="Calibri"/>
          <w:b/>
          <w:i/>
          <w:color w:val="2F5597"/>
          <w:sz w:val="20"/>
        </w:rPr>
        <w:t>[SCREEN CUE: Click into Working Paper Workspace, drag &amp; drop Form 26AS PDF/CSV, show 6-tile summary grid, then switch to GST Tool workspace]</w:t>
      </w:r>
    </w:p>
    <w:p>
      <w:r>
        <w:rPr>
          <w:rFonts w:ascii="Calibri" w:hAnsi="Calibri"/>
          <w:color w:val="262626"/>
          <w:sz w:val="22"/>
        </w:rPr>
        <w:t>Office Suite solves all these problems through specialized, standalone modules.</w:t>
        <w:br/>
        <w:br/>
        <w:t>In Module 1: Working Paper Tools, auditors can import Excel schedules or PDF receipt advice. The engine automatically calculates compound interest accruals, assigns Schedule III classification buckets, and handles prior-year roll-forwards.</w:t>
        <w:br/>
        <w:br/>
        <w:t>Notice our 6-Tile Live Summary Grid — it separates closing principal balances from accrued interest and period interest income. Furthermore, our TRACES 26AS Parser extracts Section 194A entries from PDFs or CSVs, normalizes bank deductor names, and uses fuzzy string matching algorithms to calculate exact interest variances. It even generates a publication-ready 4-sheet formula-linked Excel working paper!</w:t>
        <w:br/>
        <w:br/>
        <w:t>In Module 2: GST Compliance Tool, the system reconciles GSTR-1 turnover against GSTR-3B filings, verifies Input Tax Credit claims against GSTR-2B eligible credits, tracks Electronic Cash &amp; Credit Ledgers, and parses REG-06 GST Registration certificates.</w:t>
      </w:r>
    </w:p>
    <w:p/>
    <w:p>
      <w:pPr>
        <w:pStyle w:val="Heading1"/>
      </w:pPr>
      <w:r>
        <w:rPr>
          <w:rFonts w:ascii="Calibri" w:hAnsi="Calibri"/>
          <w:b/>
          <w:color w:val="1F4E78"/>
          <w:sz w:val="30"/>
        </w:rPr>
        <w:t>3:00 - 4:00 | Part 4: On-Premise Local Deployment &amp; DPDP Act Compliance</w:t>
      </w:r>
    </w:p>
    <w:p>
      <w:r>
        <w:rPr>
          <w:rFonts w:ascii="Calibri" w:hAnsi="Calibri"/>
          <w:b/>
          <w:i/>
          <w:color w:val="2F5597"/>
          <w:sz w:val="20"/>
        </w:rPr>
        <w:t>[SCREEN CUE: Highlight terminal window running python core/main.py and show localhost:8000 URL]</w:t>
      </w:r>
    </w:p>
    <w:p>
      <w:r>
        <w:rPr>
          <w:rFonts w:ascii="Calibri" w:hAnsi="Calibri"/>
          <w:color w:val="262626"/>
          <w:sz w:val="22"/>
        </w:rPr>
        <w:t>Now let's talk about security and privacy architecture.</w:t>
        <w:br/>
        <w:br/>
        <w:t>Office Suite runs 100% on-premise on the CA firm's local server or intranet hardware at http://localhost:8000. All database files — such as wp_data.db and gst_tool.db — remain stored on local physical hard drives.</w:t>
        <w:br/>
        <w:br/>
        <w:t>Zero financial data ever leaves the firm's internal network. This guarantees 100% compliance with India's Digital Personal Data Protection (DPDP) Act 2023, eliminating third-party cloud data leak liabilities and cross-border transfer violations.</w:t>
        <w:br/>
        <w:br/>
        <w:t>Additionally, each module features strict party and data isolation — deleting an entity in Working Papers deletes data in working papers only, without affecting GST Tool records.</w:t>
      </w:r>
    </w:p>
    <w:p/>
    <w:p>
      <w:pPr>
        <w:pStyle w:val="Heading1"/>
      </w:pPr>
      <w:r>
        <w:rPr>
          <w:rFonts w:ascii="Calibri" w:hAnsi="Calibri"/>
          <w:b/>
          <w:color w:val="1F4E78"/>
          <w:sz w:val="30"/>
        </w:rPr>
        <w:t>4:00 - 5:00 | Part 5: Modular Auto-Discovery &amp; Future Roadmap</w:t>
      </w:r>
    </w:p>
    <w:p>
      <w:r>
        <w:rPr>
          <w:rFonts w:ascii="Calibri" w:hAnsi="Calibri"/>
          <w:b/>
          <w:i/>
          <w:color w:val="2F5597"/>
          <w:sz w:val="20"/>
        </w:rPr>
        <w:t>[SCREEN CUE: Show manifest.json file structure and return to Main Launchpad Dashboard]</w:t>
      </w:r>
    </w:p>
    <w:p>
      <w:r>
        <w:rPr>
          <w:rFonts w:ascii="Calibri" w:hAnsi="Calibri"/>
          <w:color w:val="262626"/>
          <w:sz w:val="22"/>
        </w:rPr>
        <w:t>Finally, Office Suite is built as an unlimited expansion platform. The core shell dynamically scans the modules directory for manifest.json files on startup. Whenever a firm wants to build a new tool — such as an Income Tax ITR Calculator, E-Invoicing Utility, or TDS 26Q Assistant — they simply drop in a new folder with a manifest, and it automatically renders on the main dashboard screen!</w:t>
        <w:br/>
        <w:br/>
        <w:t>In conclusion, Office Suite turns weeks of manual statutory audit work into seconds of automated precision while ensuring complete data sovereignty.</w:t>
        <w:br/>
        <w:br/>
        <w:t>Thank you for watching!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