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763"/>
          <w:sz w:val="28"/>
        </w:rPr>
        <w:t>ABC PRIVATE LIMITED</w:t>
      </w:r>
    </w:p>
    <w:p>
      <w:pPr>
        <w:spacing w:after="160"/>
        <w:jc w:val="center"/>
      </w:pPr>
      <w:r>
        <w:rPr>
          <w:color w:val="1A2330"/>
          <w:sz w:val="22"/>
        </w:rPr>
        <w:t>Notes forming part of the Financial Statements for the year ended 31 March 2026</w:t>
      </w:r>
    </w:p>
    <w:p>
      <w:r>
        <w:rPr>
          <w:b/>
          <w:color w:val="0B4F8C"/>
          <w:sz w:val="24"/>
        </w:rPr>
        <w:t>Note: Analytical Ratios</w:t>
      </w:r>
    </w:p>
    <w:p>
      <w:pPr>
        <w:spacing w:after="80"/>
        <w:jc w:val="right"/>
      </w:pPr>
      <w:r>
        <w:rPr>
          <w:i/>
          <w:color w:val="5B6B7F"/>
          <w:sz w:val="19"/>
        </w:rPr>
        <w:t>(Rs. in Lacs)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7"/>
          <w:left w:val="none"/>
          <w:bottom w:val="single" w:sz="4" w:space="0" w:color="D6DEE7"/>
          <w:right w:val="none"/>
          <w:insideH w:val="single" w:sz="4" w:space="0" w:color="D6DEE7"/>
          <w:insideV w:val="none"/>
        </w:tblBorders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tblHeader/>
          <w:cantSplit/>
        </w:trPr>
        <w:tc>
          <w:tcPr>
            <w:tcW w:type="dxa" w:w="864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S. No.</w:t>
            </w:r>
          </w:p>
        </w:tc>
        <w:tc>
          <w:tcPr>
            <w:tcW w:type="dxa" w:w="2304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</w:t>
            </w:r>
          </w:p>
        </w:tc>
        <w:tc>
          <w:tcPr>
            <w:tcW w:type="dxa" w:w="2160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Numerator</w:t>
            </w:r>
          </w:p>
        </w:tc>
        <w:tc>
          <w:tcPr>
            <w:tcW w:type="dxa" w:w="2160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Denominator</w:t>
            </w:r>
          </w:p>
        </w:tc>
        <w:tc>
          <w:tcPr>
            <w:tcW w:type="dxa" w:w="1296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Current Year</w:t>
              <w:br/>
              <w:t>(FY 2026)</w:t>
            </w:r>
          </w:p>
        </w:tc>
        <w:tc>
          <w:tcPr>
            <w:tcW w:type="dxa" w:w="1296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Previous Year</w:t>
              <w:br/>
              <w:t>(FY 2025)</w:t>
            </w:r>
          </w:p>
        </w:tc>
        <w:tc>
          <w:tcPr>
            <w:tcW w:type="dxa" w:w="1296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% Variance</w:t>
            </w:r>
          </w:p>
        </w:tc>
        <w:tc>
          <w:tcPr>
            <w:tcW w:type="dxa" w:w="3168"/>
            <w:shd w:fill="0B4F8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Reason for variance</w:t>
              <w:br/>
              <w:t>(where 25% or more)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Current Ratio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Current Assets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Current Liabilities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1.55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1.26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+23.25%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Minor variance</w:t>
            </w:r>
          </w:p>
        </w:tc>
      </w:tr>
      <w:tr>
        <w:trPr>
          <w:cantSplit/>
        </w:trPr>
        <w:tc>
          <w:tcPr>
            <w:tcW w:type="dxa" w:w="86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2</w:t>
            </w:r>
          </w:p>
        </w:tc>
        <w:tc>
          <w:tcPr>
            <w:tcW w:type="dxa" w:w="230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Debt-Equity Ratio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Total Debt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Shareholders' Equity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0.37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0.94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C0392B"/>
                <w:sz w:val="17"/>
              </w:rPr>
              <w:t>-61.04%</w:t>
            </w:r>
          </w:p>
        </w:tc>
        <w:tc>
          <w:tcPr>
            <w:tcW w:type="dxa" w:w="3168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decreased by 61.0% (from 0.94 to 0.37) driven by changes in total debt relative to shareholders' equity.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3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Debt Service Coverage Ratio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Earnings Available for Debt Service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Debt Service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4.07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1.74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+133.77%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133.8% (from 1.74 to 4.07) driven by changes in earnings available for debt service relative to debt service.</w:t>
            </w:r>
          </w:p>
        </w:tc>
      </w:tr>
      <w:tr>
        <w:trPr>
          <w:cantSplit/>
        </w:trPr>
        <w:tc>
          <w:tcPr>
            <w:tcW w:type="dxa" w:w="86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4</w:t>
            </w:r>
          </w:p>
        </w:tc>
        <w:tc>
          <w:tcPr>
            <w:tcW w:type="dxa" w:w="230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Return on Equity Ratio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Profit after Tax − Preference Dividend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Shareholders' Equity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13.81%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1.12%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+1134.37%</w:t>
            </w:r>
          </w:p>
        </w:tc>
        <w:tc>
          <w:tcPr>
            <w:tcW w:type="dxa" w:w="3168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1134.4% (from 1.12% to 13.81%). Profit after tax rose 1233.3% (from 45.00 to 600.00 Rs. Lacs) while average net worth remained largely stable (expanded 8.0%). Profit expansion directly drove the higher return on equity.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5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Inventory Turnover Ratio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Cost of Goods Sold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Inventory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4.00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2.27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+76.12%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76.1% (from 2.27 to 4.00). Cost of goods sold rose 55.2% (from 6,700.00 to 10,400.00 Rs. Lacs) against average inventory reducing 11.9% (from 2,950.00 to 2,600.00 Rs. Lacs), reflecting higher sales throughput and leaner inventory holding.</w:t>
            </w:r>
          </w:p>
        </w:tc>
      </w:tr>
      <w:tr>
        <w:trPr>
          <w:cantSplit/>
        </w:trPr>
        <w:tc>
          <w:tcPr>
            <w:tcW w:type="dxa" w:w="86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6</w:t>
            </w:r>
          </w:p>
        </w:tc>
        <w:tc>
          <w:tcPr>
            <w:tcW w:type="dxa" w:w="230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Trade Receivables Turnover Ratio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Credit Sales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Trade Receivables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6.30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4.08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+54.46%</w:t>
            </w:r>
          </w:p>
        </w:tc>
        <w:tc>
          <w:tcPr>
            <w:tcW w:type="dxa" w:w="3168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54.5% (from 4.08 to 6.30) driven by changes in net credit sales relative to average trade receivables.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7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Trade Payables Turnover Ratio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Credit Purchases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Trade Payables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4.18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3.13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+33.59%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33.6% (from 3.13 to 4.18) driven by changes in net credit purchases relative to average trade payables.</w:t>
            </w:r>
          </w:p>
        </w:tc>
      </w:tr>
      <w:tr>
        <w:trPr>
          <w:cantSplit/>
        </w:trPr>
        <w:tc>
          <w:tcPr>
            <w:tcW w:type="dxa" w:w="86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8</w:t>
            </w:r>
          </w:p>
        </w:tc>
        <w:tc>
          <w:tcPr>
            <w:tcW w:type="dxa" w:w="230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Capital Turnover Ratio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Revenue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Working Capital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8.45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7.02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+20.48%</w:t>
            </w:r>
          </w:p>
        </w:tc>
        <w:tc>
          <w:tcPr>
            <w:tcW w:type="dxa" w:w="3168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Minor variance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9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Profit Ratio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Profit After Tax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Net Revenue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4.14%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0.45%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+819.54%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819.5% (from 0.45% to 4.14%). Profit after tax rose 1233.3% against net sales up only 45.0%, reflecting operating leverage: employee benefit expenses and depreciation both reduced in absolute terms despite higher revenue.</w:t>
            </w:r>
          </w:p>
        </w:tc>
      </w:tr>
      <w:tr>
        <w:trPr>
          <w:cantSplit/>
        </w:trPr>
        <w:tc>
          <w:tcPr>
            <w:tcW w:type="dxa" w:w="86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10</w:t>
            </w:r>
          </w:p>
        </w:tc>
        <w:tc>
          <w:tcPr>
            <w:tcW w:type="dxa" w:w="2304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Return on Capital Employed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Earnings Before Interest &amp; Tax</w:t>
            </w:r>
          </w:p>
        </w:tc>
        <w:tc>
          <w:tcPr>
            <w:tcW w:type="dxa" w:w="2160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Capital Employed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17.08%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6.94%</w:t>
            </w:r>
          </w:p>
        </w:tc>
        <w:tc>
          <w:tcPr>
            <w:tcW w:type="dxa" w:w="1296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E8E5A"/>
                <w:sz w:val="17"/>
              </w:rPr>
              <w:t>+145.96%</w:t>
            </w:r>
          </w:p>
        </w:tc>
        <w:tc>
          <w:tcPr>
            <w:tcW w:type="dxa" w:w="3168"/>
            <w:shd w:fill="F2F7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The ratio has increased by 146.0% (from 6.94% to 17.08%). Earnings before interest and tax increased 100.0% (from 550.00 to 1,100.00 Rs. Lacs) on a relatively stable capital employed base (down 18.7% from 7,920.00 to 6,440.00 Rs. Lacs).</w:t>
            </w:r>
          </w:p>
        </w:tc>
      </w:tr>
      <w:tr>
        <w:trPr>
          <w:cantSplit/>
        </w:trP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color w:val="1A2330"/>
                <w:sz w:val="17"/>
              </w:rPr>
              <w:t>11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Return on Investment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Income from Investments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Average Total Investments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NA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NA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right"/>
            </w:pPr>
            <w:r>
              <w:rPr>
                <w:color w:val="1A2330"/>
                <w:sz w:val="17"/>
              </w:rPr>
              <w:t>NA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color w:val="1A2330"/>
                <w:sz w:val="17"/>
              </w:rPr>
              <w:t>NA</w:t>
            </w:r>
          </w:p>
        </w:tc>
      </w:tr>
    </w:tbl>
    <w:p/>
    <w:p>
      <w:pPr>
        <w:spacing w:before="120" w:after="40"/>
      </w:pPr>
      <w:r>
        <w:rPr>
          <w:i/>
          <w:color w:val="5B6B7F"/>
          <w:sz w:val="17"/>
        </w:rPr>
        <w:t>Note: Ratios have been computed in accordance with the requirements of Schedule III to the Companies Act, 2013.</w:t>
      </w:r>
    </w:p>
    <w:p>
      <w:pPr>
        <w:spacing w:after="40"/>
      </w:pPr>
      <w:r>
        <w:rPr>
          <w:i/>
          <w:color w:val="5B6B7F"/>
          <w:sz w:val="16"/>
        </w:rPr>
        <w:t>* Return on Investment: The entity holds no investments; return on investment is NA.</w:t>
      </w:r>
    </w:p>
    <w:sectPr w:rsidR="00FC693F" w:rsidRPr="0006063C" w:rsidSect="00034616">
      <w:footerReference w:type="default" r:id="rId9"/>
      <w:pgSz w:w="16834" w:h="11909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Generated on 04-09-2026 | Schedule III Ratio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F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