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Final Review Paper - Transfer Pricing</w:t>
      </w:r>
    </w:p>
    <w:p>
      <w:r>
        <w:rPr>
          <w:i/>
        </w:rPr>
        <w:t>Generated by AuditSignOff Suite UAE - Partner/Manager Review Automation (offline). Software finds and records; the reviewer decides and signs.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10080"/>
      </w:tblGrid>
      <w:tr>
        <w:tc>
          <w:tcPr>
            <w:tcW w:type="dxa" w:w="3168"/>
            <w:shd w:val="clear" w:color="auto" w:fill="D9E2F3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0080"/>
            <w:shd w:val="clear" w:color="auto" w:fill="D9E2F3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Client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ABC COMPANY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Financial year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Module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C - Transfer pricing report review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TP report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ABC_COMPANY_FY2024_TP_Report_ERRORS.docx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Benchmarking workbook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ABC_COMPANY_FY2024_TP_Benchmark_Workbook_ERRORS.xlsx (27 comparables, quartile method INC)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BIRF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ABC_BIRF.xlsx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Generated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2026-10-17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Prepared by / Reviewed by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____________ / ____________</w:t>
            </w:r>
          </w:p>
        </w:tc>
      </w:tr>
    </w:tbl>
    <w:p/>
    <w:p>
      <w:pPr>
        <w:spacing w:before="240"/>
      </w:pPr>
      <w:r>
        <w:rPr>
          <w:b/>
          <w:sz w:val="22"/>
        </w:rPr>
        <w:t>1.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728"/>
        <w:gridCol w:w="1440"/>
        <w:gridCol w:w="1872"/>
        <w:gridCol w:w="1728"/>
        <w:gridCol w:w="1296"/>
        <w:gridCol w:w="864"/>
        <w:gridCol w:w="1008"/>
        <w:gridCol w:w="864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Checks automated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Passed (not listed again)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With exceptions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8"/>
              </w:rPr>
              <w:t>Assisted - reviewer to confirm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Not run (input missing)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8"/>
              </w:rPr>
              <w:t>Manual only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High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8"/>
              </w:rPr>
              <w:t>Medium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Low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43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</w:t>
            </w:r>
          </w:p>
        </w:tc>
      </w:tr>
    </w:tbl>
    <w:p>
      <w:r>
        <w:rPr>
          <w:b/>
        </w:rPr>
        <w:t>NOT READY for Partner sign-off: High-severity exceptions are open.</w:t>
      </w:r>
    </w:p>
    <w:p>
      <w:pPr>
        <w:spacing w:before="240"/>
      </w:pPr>
      <w:r>
        <w:rPr>
          <w:b/>
          <w:sz w:val="22"/>
        </w:rPr>
        <w:t>2. Exceptions requiring reviewer action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2304"/>
        <w:gridCol w:w="2880"/>
        <w:gridCol w:w="2016"/>
        <w:gridCol w:w="1296"/>
        <w:gridCol w:w="1296"/>
        <w:gridCol w:w="1440"/>
        <w:gridCol w:w="1008"/>
      </w:tblGrid>
      <w:tr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Ref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18"/>
              </w:rPr>
              <w:t>Finding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Detail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b/>
                <w:sz w:val="18"/>
              </w:rPr>
              <w:t>Evidence / location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8"/>
              </w:rPr>
              <w:t>Expected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8"/>
              </w:rPr>
              <w:t>Found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Reviewer response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8"/>
              </w:rPr>
              <w:t>Status / cleared by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TP-03.1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Financial year on the cover does not agree to the engagement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Cover years [2023]; engagement FY 2024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Cover - under heading 'ABC COMPANY'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2024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[2023]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TP-14.1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Remuneration in the report does not trace to the notes to accounts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None of the remuneration amounts in the report (150,000, 550,000, 1,103,333, 1,200,000, 1,500,000, 2,000,000) appears against remuneration / key management lines of the FS (2,400,000, 2,700,000). Grey area: the FS may disclose key-management compensation on a wider scope (bonus, EOSB, benefits) than the amount benchmarked; confirm the scope before raising.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Report remuneration vs FS notes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report amount = note amount (or reconciled)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no match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TP-16.1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Components per the BIRF do not add up to the total in the report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BIRF components add to AED 2,700,000; report totals [150000.0, 550000.0, 1200000.0]. Grey area: the BIRF may list several recipients - confirm the report total covers the same persons.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Remuneration table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2,700,000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[150000.0, 550000.0]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TP-33.1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Duplicate comparable in the set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Executive 22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Final_Set - under heading 'ABC COMPANY'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TP-34.1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Workbook has error values / broken references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Summary!B16 shows #REF!; Summary!B17 shows #REF!; Summary!B5 formula contains #REF!; Summary!B5 shows #REF!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ABC_COMPANY_FY2024_TP_Benchmark_Workbook_ERRORS.xlsx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no #REF!/#N/A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4 cell(s)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TP-46.1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Q3 in the report does not agree to the workbook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Report 2,775,000 vs workbook 3,535,726 (n=27, Final_Set)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Table 1, row 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3,535,726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2,775,000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TP-46.2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Q3 differs from the figure recomputed from the report's own comparables table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Report 2,775,000 vs recomputed 2,775,669 (QUARTILE.INC, n=27)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Table 1, row 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2,775,669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2,775,000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TP-46.3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Q3 differs from the figure recomputed from the report's own comparables table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Report 2,775,000 vs recomputed 2,775,669 (QUARTILE.INC, n=27)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Table 4, row 32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2,775,669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2,775,000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TP-46.4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Q3 differs from the figure recomputed from the report's own comparables table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Report 2,775,000 vs recomputed 2,775,669 (QUARTILE.INC, n=27)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narrative: 'percentile) to AED 2,775,000 (75th percentile)' - under heading '3.2 TRANSFER PRICING METHOD APPLIED'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2,775,669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2,775,000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TP-73.1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Unfinished text in the report: placeholder 'XXXX'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 xml:space="preserve">A) and operates under trade licence no. XXXXXX. The principal activity 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Report - under heading '1.1 ABOUT THE COMPANY'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completed text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XXXXXX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TP-11.1</w:t>
            </w:r>
          </w:p>
        </w:tc>
        <w:tc>
          <w:tcPr>
            <w:tcW w:type="dxa" w:w="864"/>
            <w:shd w:val="clear" w:color="auto" w:fill="FFE699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Sole shareholder is a company but the KMPs are individuals: confirm the ultimate beneficial owners and that the KMPs are not the owners (remuneration vs profit extraction)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Shareholder: TWO LTD; KMPs: PQR, XYZ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Sections 1.1 / 1.2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UBO per MOA/Register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not stated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TP-34.2</w:t>
            </w:r>
          </w:p>
        </w:tc>
        <w:tc>
          <w:tcPr>
            <w:tcW w:type="dxa" w:w="864"/>
            <w:shd w:val="clear" w:color="auto" w:fill="FFE699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Hidden sheets / rows / columns in the workbook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sheet 'Working_Hidden' (hidden). Hidden content must be explained or removed before issue.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ABC_COMPANY_FY2024_TP_Benchmark_Workbook_ERRORS.xlsx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none hidden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TP-45.1</w:t>
            </w:r>
          </w:p>
        </w:tc>
        <w:tc>
          <w:tcPr>
            <w:tcW w:type="dxa" w:w="864"/>
            <w:shd w:val="clear" w:color="auto" w:fill="FFE699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Number of comparables stated in the report differs from the workbook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Report states [26, 27, 36]; workbook has 27 accepted comparables ('26 comparable third-party executi')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Report - under heading '1.4 EXECUTIVE SUMMARY'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[26, 27, 36]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TP-74.1</w:t>
            </w:r>
          </w:p>
        </w:tc>
        <w:tc>
          <w:tcPr>
            <w:tcW w:type="dxa" w:w="864"/>
            <w:shd w:val="clear" w:color="auto" w:fill="E2EFDA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Doubled title before a name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Mr. Mr. XYZ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Report - under heading '1.1 ABOUT THE COMPANY'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Mr. XYZ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Mr. Mr. XYZ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</w:tbl>
    <w:p>
      <w:pPr>
        <w:spacing w:before="240"/>
      </w:pPr>
      <w:r>
        <w:rPr>
          <w:b/>
          <w:sz w:val="22"/>
        </w:rPr>
        <w:t>4. Exceptions and items not fully checked by the software (checks that passed are not repeated)</w:t>
      </w:r>
    </w:p>
    <w:p>
      <w:r>
        <w:rPr>
          <w:sz w:val="18"/>
        </w:rPr>
        <w:t>EXC = exception (section 2); ASSIST = software extracted the evidence, reviewer confirms; r = not run or manual.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1728"/>
        <w:gridCol w:w="4608"/>
        <w:gridCol w:w="720"/>
        <w:gridCol w:w="1008"/>
        <w:gridCol w:w="4896"/>
      </w:tblGrid>
      <w:tr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4608"/>
            <w:shd w:val="clear" w:color="auto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9E2F3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4896"/>
            <w:shd w:val="clear" w:color="auto" w:fill="D9E2F3"/>
          </w:tcPr>
          <w:p>
            <w:r/>
            <w:r>
              <w:rPr>
                <w:b/>
                <w:sz w:val="18"/>
              </w:rPr>
              <w:t>Note / evidence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 Cover Page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Financial year / period agrees with report body and audited / draft financial statements.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 Cover Page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Cover picture is relevant to company activity and to the report (no generic or wrong-industry image).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No picture detected on the cover. Confirm it is relevant to the client's activity (construction materials trading here) and not an AI image with garbled text.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1.2 Table of Contents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TOC is complete: every Heading 1 / Heading 2 in the document appears in the TOC and vice versa.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Index vs headings test (TP-17): 0 exception(s). Entries and page numbers agree. Word: right-click the index &gt; Update field &gt; entire table before PDF conversion.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1.3 Company Details and Source Cross-Check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Company details agree with the trade licence (licence number, legal name, legal form, address, manager / owners). Licence is valid for the whole period under review and its licensed activities cover the business described in the report.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1.3 Company Details and Source Cross-Check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Total managerial remuneration stated in report traces to the notes to accounts of the draft / final audit report.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1.3 Company Details and Source Cross-Check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Functional analysis (functions, assets, risks) of the tested party is complete and consistent with the business description, and the report explains why this entity is the tested party.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Reason: The company is the tested party because it is the least complex party to the transaction and reliable data on comparable remuneration is available; the KMPs are the recipients of 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1.3 Company Details and Source Cross-Check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Remuneration split by component (salary, bonus, allowances, end-of-service benefits, share-based pay, benefits in kind, if any) agrees with the BIRF, and the components add up to the total in the report and notes.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1.4 Formatting (Template Compliance)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Body text: Times New Roman 11; alignment, indentation, line spacing per approved template.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Alignment mix {'None': 89}; line spacing values {'None': 89}. Body is normally justified; one dominant spacing expected.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1.4 Formatting (Template Compliance)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Main headings: Times New Roman 19.5; bolding, alignment, spacing, numbering per template.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Heading styles used {'Heading 1': 5, 'Heading 2': 12}; paragraph alignment mix {'None': 89}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1.4 Formatting (Template Compliance)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Tables: Times New Roman 11; headings, alignment, borders, decimal places and units per template.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3 data tables. Decimal places used in numeric cells: {1: 27} (one convention expected per column). Check header shading, borders and units (AED / AED mm).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TP-24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1.4 Formatting (Template Compliance)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Editable annexure content (embedded Excel, scanned documents, images): TNR 11 for editable text; visual inspection of objects.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0 embedded object(s)/image(s) []. Open each to confirm it is visible, bordered and not clipped.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TP-29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1.6 PLI Selection and Computation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Operating Profit traces to P&amp;L of final / draft audit report.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Workbook has no tested-party operating profit label (not applicable to an absolute-remuneration benchmark - use the remuneration trace, TP-14)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1.6 PLI Selection and Computation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Operating Costs = COS / COGS + operating expenses per audit report; non-operating and financing items excluded as per policy.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Cost of sales / operating expenses lines not found in the FS text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TP-31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1.6 PLI Selection and Computation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Employee Costs include salaries, managerial remuneration, allowances, benefits and other staff costs, assessed by nature rather than caption; recomputed where aggregated.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key management personnel during the year amo = 2,700,000; key management personnel | 2,700,000 | 2,40 = 0,000 2 statement(s) found; reconciliation mentioned: False. Aggregates; Aggregates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TP-32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1.6 PLI Selection and Computation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Operating Revenue traces to revenue figure in P&amp;L.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mr_total 2,750,000: FS page NOT FOUND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TP-33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1.6 PLI Selection and Computation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Tested party PLI recomputed independently and agrees with word report.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TP-34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1.7 Workbook Integrity (Both Report Types)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PLI formulas are live (no hard-coded values); no broken references, hidden rows / sheets, external links or #REF! errors.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2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TP-35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1.8 Full Benchmarking Report Only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Search strategy is documented, logical for the tested party and agrees between report and workbook: database name and version, search date, industry codes, geography, size filters, independence criteria, financial years and loss-making treatment.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27 companies / 27 entries to tick to S&amp;P Capital IQ: Almqvist Byggvaror AB, Bellaire Matériaux SA, Brenner Baustoffe AG, Castellan Materials plc, Corvalis Cement Trading SpA, Dunmore Builders Merchants Ltd, Eskilstuna Järn &amp; Bygg AB, Ferrant Distribution SA, Grunwald Handel GmbH, Hallström Bygg AB…. Check descriptions, financials and the executive compensation year.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TP-39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1.8 Full Benchmarking Report Only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Data periods: single-year or multi-year averages are stated and applied consistently across report, workbook and PLI computation.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Report: single-year ; workbook years: 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TP-40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1.8 Full Benchmarking Report Only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Method rejection: reasons for not using the other OECD methods are stated and logical.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Primary TNMM. CUP: Profit level indicator: not applicable, as the CUP method compares the remuneration amount directly and no profit-based indicator is used. | Resale Price: The resale price method is not applicable as no goods are resold in the transaction. | Cost Plus: The cost plus method is not suitable as no cost base is marked up. | Profit Split: The profit split method is not applicable as the transaction is 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TP-41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1.8 Full Benchmarking Report Only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Secondary method (CUP or other): sources are dated and relevant, and the rationale is logical.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The report does not mention a corroborative (secondary) method. Confirm whether the firm's methodology requires one for this transaction (e.g. a second method or internal comparable).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TP-42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1.8 Full Benchmarking Report Only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Data points and rationale in the secondary analysis agree with the Excel workings and the facts stated in the report.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27 rows. First rows: Executive 08 | Managing Director | 1,103,666; Executive 03 | CEO &amp; Director | 506,339; Executive 22 | MD &amp; Executive Director | 4,295,113; Executive 18 | Managing Director | 2,359,452; Executive 02 | MD &amp; Executive Director | 357,226; Executive 20 | President &amp; CEO | 2,775,000. Annexures are not readable here (zip/embedded): tick every row to Annexure 7/9. See exceptions raised by TP-33, TP-35, 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TP-43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1.8 Full Benchmarking Report Only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Secondary method conclusion is consistent with the primary method conclusion.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No secondary / corroborative analysis conclusion found in the report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TP-45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1.9 Conclusion and Statistics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Number of comparables correctly stated everywhere.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TP-46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1.9 Conclusion and Statistics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Minimum, Q1, median, Q3, maximum agree with the final approved workbook; no placeholder or illustrative values.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4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1.9 Conclusion and Statistics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Narrative conclusion (within / outside range, adjustment) agrees with results and methodology.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Position statements: XYZ (AED 1,500,000) lies within the interquartile range of AED 1,103,333 to AED 2,775,000.. Industry descriptions: ['Industry analysis: the trading sector in the UAE i', 'sector']. Check wording agrees with the numbers and method.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TP-51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1.9 Conclusion and Statistics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Amount of disallowance or final conclusion reconciles with overall information (actual remuneration, arm's length amount, difference).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No downward adjustment indicated (upward/none) - applies only if the return reduces income. Prerequisites mentioned in the report: {'rationale': True, 'benchmarking': True, 'FS reconciliation': False, 'corresponding adjustment': False}.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TP-52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1.10 Graphs and Charts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Data points in charts included within report agree with workbook values.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0 chart part(s). Agree values to the workings; check axis scale, labels, period.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TP-53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1.10 Graphs and Charts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Scale, axis labels, units, period and legend are correct and not misleading.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No charts in the report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TP-54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1.10 Graphs and Charts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Chart message agrees with narrative facts in the report.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No native charts to compare with the narrative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1.11 Method and Terminology Consistency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Method chosen (e.g. TNMM) is mentioned consistently on every page; no references to a different method.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Primary method named in the report: TNMM, CUP. Counts: TNMM: 2 mention(s); CUP: 4 mention(s); Cost Plus: 1 mention(s); Resale Price: 1 mention(s); Profit Split: 1 mention(s)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TP-57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1.11 Method and Terminology Consistency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Abbreviations defined at first use and used consistently.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Defined: ['AED', 'CUP', 'DSOA', 'TNMM']. Used but not defined in the text: ['OF', 'THE', 'AB', 'SA', 'PQR', 'XYZ', 'OR', 'ABC', 'AND', 'METHOD', 'ABOUT', 'AIM'].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TP-68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1.13 Regulatory Content (OECD and UAE CT TP)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Report covers the expected components per OECD and FTA guidance: entity and industry analysis, controlled transaction description, method selection, comparability analysis and conclusion (functional analysis is checked at 1.3 and method rejection at 1.8).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entity/industry, controlled transaction, method selection, comparability, conclusion are all present (adequacy still for the reviewer)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TP-69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1.13 Regulatory Content (OECD and UAE CT TP)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Connected person / related party identification is correct and consistent with the notes to accounts and the BIRF.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Persons named in the report: ['Mr', 'PQR', 'XYZ']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1.13 Regulatory Content (OECD and UAE CT TP)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References to law, guidelines and thresholds are current.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Recognised: ['Corporate Tax Law (as amended by Federal Decree-Law No. 60 of 2023)', 'Master File / Local File documentation conditions']; list verified 2026-10-16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TP-71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1.13 Regulatory Content (OECD and UAE CT TP)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Whether the related-party disclosure threshold is met (confirm current FTA thresholds).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Related-party values / revenue not supplied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TP-72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1.14 Firm-added checks (retained)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Continuation labels appear on continued headings/tables where required and nowhere else.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1 headings carry '(continued)'. Confirm each follows a heading of the same name and none appears on a first page.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TP-73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1.14 Firm-added checks (retained)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No unfinished text (XXXX, TBC, [ ], date without year) in the issued report.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TP-74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1.14 Firm-added checks (retained)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No doubled titles or repeated words (e.g. Mr. Mr.).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TP-77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1.14 Firm-added checks (retained)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Final Word and PDF reviewed after conversion (pagination, borders, headers, footers, tables, objects, annexures).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This review used a DOCX file. Compare the PDF made from this Word file page by page (pagination, borders, objects).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TP-78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1.14 Firm-added checks (retained)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All material review exceptions resolved or documented.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Every exception in this paper must be marked Cleared / Waived (Partner) / Disputed in the exception log before sign-off.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TP-79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1.14 Firm-added checks (retained)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Final approved files saved per the firm's document management procedure.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'ABC_COMPANY_FY2024_TP_Report_ERRORS.docx': naming looks consistent. Confirm saving per the document management procedure.</w:t>
            </w:r>
          </w:p>
        </w:tc>
      </w:tr>
    </w:tbl>
    <w:p/>
    <w:p>
      <w:pPr>
        <w:spacing w:before="240"/>
      </w:pPr>
      <w:r>
        <w:rPr>
          <w:b/>
          <w:sz w:val="22"/>
        </w:rPr>
        <w:t>5.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7"/>
        <w:gridCol w:w="2707"/>
        <w:gridCol w:w="2707"/>
        <w:gridCol w:w="2707"/>
        <w:gridCol w:w="2707"/>
      </w:tblGrid>
      <w:tr>
        <w:tc>
          <w:tcPr>
            <w:tcW w:type="dxa" w:w="2707"/>
          </w:tcPr>
          <w:p>
            <w:r/>
          </w:p>
        </w:tc>
        <w:tc>
          <w:tcPr>
            <w:tcW w:type="dxa" w:w="2707"/>
          </w:tcPr>
          <w:p>
            <w:r>
              <w:t>Prepared by</w:t>
            </w:r>
          </w:p>
        </w:tc>
        <w:tc>
          <w:tcPr>
            <w:tcW w:type="dxa" w:w="2707"/>
          </w:tcPr>
          <w:p>
            <w:r>
              <w:t>First review</w:t>
            </w:r>
          </w:p>
        </w:tc>
        <w:tc>
          <w:tcPr>
            <w:tcW w:type="dxa" w:w="2707"/>
          </w:tcPr>
          <w:p>
            <w:r>
              <w:t>Manager review</w:t>
            </w:r>
          </w:p>
        </w:tc>
        <w:tc>
          <w:tcPr>
            <w:tcW w:type="dxa" w:w="2707"/>
          </w:tcPr>
          <w:p>
            <w:r>
              <w:t>Partner review</w:t>
            </w:r>
          </w:p>
        </w:tc>
      </w:tr>
      <w:tr>
        <w:tc>
          <w:tcPr>
            <w:tcW w:type="dxa" w:w="2707"/>
          </w:tcPr>
          <w:p>
            <w:r>
              <w:t>Name</w:t>
            </w:r>
          </w:p>
        </w:tc>
        <w:tc>
          <w:tcPr>
            <w:tcW w:type="dxa" w:w="2707"/>
          </w:tcPr>
          <w:p>
            <w:r/>
          </w:p>
        </w:tc>
        <w:tc>
          <w:tcPr>
            <w:tcW w:type="dxa" w:w="2707"/>
          </w:tcPr>
          <w:p>
            <w:r/>
          </w:p>
        </w:tc>
        <w:tc>
          <w:tcPr>
            <w:tcW w:type="dxa" w:w="2707"/>
          </w:tcPr>
          <w:p>
            <w:r/>
          </w:p>
        </w:tc>
        <w:tc>
          <w:tcPr>
            <w:tcW w:type="dxa" w:w="2707"/>
          </w:tcPr>
          <w:p>
            <w:r/>
          </w:p>
        </w:tc>
      </w:tr>
      <w:tr>
        <w:tc>
          <w:tcPr>
            <w:tcW w:type="dxa" w:w="2707"/>
          </w:tcPr>
          <w:p>
            <w:r>
              <w:t>Date</w:t>
            </w:r>
          </w:p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</w:tr>
      <w:tr>
        <w:tc>
          <w:tcPr>
            <w:tcW w:type="dxa" w:w="2707"/>
          </w:tcPr>
          <w:p>
            <w:r>
              <w:t>Sign</w:t>
            </w:r>
          </w:p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</w:tr>
    </w:tbl>
    <w:p/>
    <w:p>
      <w:r>
        <w:rPr>
          <w:sz w:val="16"/>
        </w:rPr>
        <w:t>Input integrity (SHA-256): engagement_abc.yaml: 5be2a8e8855dcda0...; ABC_COMPANY_FY2024_TP_Report_ERRORS.docx: 092cf63e22c499f7...; ABC_COMPANY_FY2024_TP_Benchmark_Workbook_ERRORS.xlsx: 81e256ad045bd26f...; ABC_FS_Notes.docx: 0038d09236a00f45...; ABC_BIRF.xlsx: b93c42db78689366...</w:t>
      </w:r>
    </w:p>
    <w:sectPr w:rsidR="00FC693F" w:rsidRPr="0006063C" w:rsidSect="00034616"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