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ABC COMPANY</w:t>
      </w:r>
    </w:p>
    <w:p>
      <w:r>
        <w:t>Transfer Pricing Benchmark Analysis</w:t>
      </w:r>
    </w:p>
    <w:p>
      <w:r>
        <w:t>For the financial year ended 31 December 2024</w:t>
      </w:r>
    </w:p>
    <w:p>
      <w:r>
        <w:br w:type="page"/>
      </w:r>
    </w:p>
    <w:p>
      <w:pPr>
        <w:pStyle w:val="TOCHeading"/>
      </w:pPr>
      <w:r>
        <w:rPr>
          <w:rFonts w:ascii="Times New Roman" w:hAnsi="Times New Roman"/>
          <w:sz w:val="39"/>
        </w:rPr>
        <w:t>TABLE OF CONTENTS</w:t>
      </w:r>
    </w:p>
    <w:p>
      <w:r>
        <w:t>1. INTRODUCTION ........ 1</w:t>
      </w:r>
    </w:p>
    <w:p>
      <w:r>
        <w:t>1.1 ABOUT THE COMPANY ........ 1</w:t>
      </w:r>
    </w:p>
    <w:p>
      <w:r>
        <w:t>1.2 BACKGROUND OF TRANSACTION ........ 1</w:t>
      </w:r>
    </w:p>
    <w:p>
      <w:r>
        <w:t>1.3 AIM OF THE REPORT ........ 1</w:t>
      </w:r>
    </w:p>
    <w:p>
      <w:r>
        <w:t>1.4 EXECUTIVE SUMMARY ........ 1</w:t>
      </w:r>
    </w:p>
    <w:p>
      <w:r>
        <w:t>1.5 LIMITATIONS ........ 1</w:t>
      </w:r>
    </w:p>
    <w:p>
      <w:r>
        <w:t>2. ANALYSIS OF THE TRANSACTION ........ 2</w:t>
      </w:r>
    </w:p>
    <w:p>
      <w:r>
        <w:t>2.1 NATURE AND TERMS OF THE IDENTIFIED TRANSACTION ........ 2</w:t>
      </w:r>
    </w:p>
    <w:p>
      <w:r>
        <w:t>2.2 FUNCTIONAL ANALYSIS ........ 2</w:t>
      </w:r>
    </w:p>
    <w:p>
      <w:r>
        <w:t>2.3 ASSET ANALYSIS ........ 2</w:t>
      </w:r>
    </w:p>
    <w:p>
      <w:r>
        <w:t>2.4 RISK ANALYSIS ........ 2</w:t>
      </w:r>
    </w:p>
    <w:p>
      <w:r>
        <w:t>2.5 CHARACTERISATION OF THE ENTITIES ........ 2</w:t>
      </w:r>
    </w:p>
    <w:p>
      <w:r>
        <w:t>3. ECONOMIC ANALYSIS ........ 3</w:t>
      </w:r>
    </w:p>
    <w:p>
      <w:r>
        <w:t>3.1 SELECTION OF TRANSFER PRICING METHOD ........ 3</w:t>
      </w:r>
    </w:p>
    <w:p>
      <w:r>
        <w:t>3.2 TRANSFER PRICING METHOD APPLIED ........ 3</w:t>
      </w:r>
    </w:p>
    <w:p>
      <w:r>
        <w:t>4. RESULTS AND CONCLUSION ........ 4</w:t>
      </w:r>
    </w:p>
    <w:p>
      <w:r>
        <w:t>5. APPENDIX ........ 5</w:t>
      </w:r>
    </w:p>
    <w:p>
      <w:r>
        <w:t>Annexure 1: Search strategy screenshot - UAE ........ 6</w:t>
      </w:r>
    </w:p>
    <w:p>
      <w:r>
        <w:t>Annexure 2: Search strategy write-up - UAE ........ 7</w:t>
      </w:r>
    </w:p>
    <w:p>
      <w:r>
        <w:t>Annexure 3: Search strategy screenshot - Middle East ........ 8</w:t>
      </w:r>
    </w:p>
    <w:p>
      <w:r>
        <w:t>Annexure 4: Search strategy write-up - Middle East ........ 9</w:t>
      </w:r>
    </w:p>
    <w:p>
      <w:r>
        <w:t>Annexure 5: Search strategy screenshot - Europe OR Middle East ........ 10</w:t>
      </w:r>
    </w:p>
    <w:p>
      <w:r>
        <w:t>Annexure 6: Search strategy write-up - Europe OR Middle East ........ 11</w:t>
      </w:r>
    </w:p>
    <w:p>
      <w:r>
        <w:t>Annexure 7: Search results ........ 12</w:t>
      </w:r>
    </w:p>
    <w:p>
      <w:r>
        <w:t>Annexure 8: Accept-reject matrix ........ 13</w:t>
      </w:r>
    </w:p>
    <w:p>
      <w:r>
        <w:br w:type="page"/>
      </w:r>
    </w:p>
    <w:p>
      <w:pPr>
        <w:pStyle w:val="Heading1"/>
      </w:pPr>
      <w:r>
        <w:t>1. INTRODUCTION</w:t>
      </w:r>
    </w:p>
    <w:p>
      <w:pPr>
        <w:pStyle w:val="Heading2"/>
      </w:pPr>
      <w:r>
        <w:t>1.1 ABOUT THE COMPANY</w:t>
      </w:r>
    </w:p>
    <w:p>
      <w:r>
        <w:t>ABC COMPANY, Dubai Silicon Oasis, Dubai, UAE ("the company") is registered as a free zone company with limited liability with the Dubai Silicon Oasis Authority (DSOA) and operates under trade licence no. 000000. The principal activity of the company is building and construction material trading. The company is managed by Mr. PQR, the manager, and Mr. XYZ, the authorised signatory. TWO LTD is the sole shareholder of the company.</w:t>
      </w:r>
    </w:p>
    <w:p>
      <w:pPr>
        <w:pStyle w:val="Heading2"/>
      </w:pPr>
      <w:r>
        <w:t>1.2 BACKGROUND OF TRANSACTION</w:t>
      </w:r>
    </w:p>
    <w:p>
      <w:r>
        <w:t>During the financial year 2024, ABC COMPANY paid managerial remuneration of AED 2,700,000 to its key management personnel, Mr. PQR and Mr. XYZ (the "KMPs"), who are connected persons under the Corporate Tax Law. The remuneration is the transaction under review.</w:t>
      </w:r>
    </w:p>
    <w:p>
      <w:pPr>
        <w:pStyle w:val="Heading2"/>
      </w:pPr>
      <w:r>
        <w:t>1.3 AIM OF THE REPORT</w:t>
      </w:r>
    </w:p>
    <w:p>
      <w:r>
        <w:t>The aim of this report is to benchmark the managerial remuneration against comparable third-party remuneration and to conclude whether it is consistent with the arm's length principle under Federal Decree-Law No. 47 of 2022, Ministerial Decision No. 97 of 2023 and the OECD Transfer Pricing Guidelines.</w:t>
      </w:r>
    </w:p>
    <w:p>
      <w:pPr>
        <w:pStyle w:val="Heading2"/>
      </w:pPr>
      <w:r>
        <w:t>1.4 EXECUTIVE SUMMARY</w:t>
      </w:r>
    </w:p>
    <w:p>
      <w:r>
        <w:t>A benchmarking analysis was performed using 27 comparable third-party executives of independent companies in the construction and building material sector. The arm's length range of remuneration is shown below.</w:t>
      </w:r>
    </w:p>
    <w:tbl>
      <w:tblPr>
        <w:tblW w:type="auto" w:w="0"/>
        <w:tblLook w:firstColumn="1" w:firstRow="1" w:lastColumn="0" w:lastRow="0" w:noHBand="0" w:noVBand="1" w:val="04A0"/>
      </w:tblPr>
      <w:tblGrid>
        <w:gridCol w:w="4320"/>
        <w:gridCol w:w="4320"/>
      </w:tblGrid>
      <w:tr>
        <w:tc>
          <w:tcPr>
            <w:tcW w:type="dxa" w:w="4320"/>
          </w:tcPr>
          <w:p>
            <w:r>
              <w:t>Lowest value</w:t>
            </w:r>
          </w:p>
        </w:tc>
        <w:tc>
          <w:tcPr>
            <w:tcW w:type="dxa" w:w="4320"/>
          </w:tcPr>
          <w:p>
            <w:r>
              <w:t>207,793</w:t>
            </w:r>
          </w:p>
        </w:tc>
      </w:tr>
      <w:tr>
        <w:tc>
          <w:tcPr>
            <w:tcW w:type="dxa" w:w="4320"/>
          </w:tcPr>
          <w:p>
            <w:r>
              <w:t>Lower quartile (25%)</w:t>
            </w:r>
          </w:p>
        </w:tc>
        <w:tc>
          <w:tcPr>
            <w:tcW w:type="dxa" w:w="4320"/>
          </w:tcPr>
          <w:p>
            <w:r>
              <w:t>1,103,333</w:t>
            </w:r>
          </w:p>
        </w:tc>
      </w:tr>
      <w:tr>
        <w:tc>
          <w:tcPr>
            <w:tcW w:type="dxa" w:w="4320"/>
          </w:tcPr>
          <w:p>
            <w:r>
              <w:t>Median</w:t>
            </w:r>
          </w:p>
        </w:tc>
        <w:tc>
          <w:tcPr>
            <w:tcW w:type="dxa" w:w="4320"/>
          </w:tcPr>
          <w:p>
            <w:r>
              <w:t>1,525,809</w:t>
            </w:r>
          </w:p>
        </w:tc>
      </w:tr>
      <w:tr>
        <w:tc>
          <w:tcPr>
            <w:tcW w:type="dxa" w:w="4320"/>
          </w:tcPr>
          <w:p>
            <w:r>
              <w:t>Upper quartile (75%)</w:t>
            </w:r>
          </w:p>
        </w:tc>
        <w:tc>
          <w:tcPr>
            <w:tcW w:type="dxa" w:w="4320"/>
          </w:tcPr>
          <w:p>
            <w:r>
              <w:t>2,775,669</w:t>
            </w:r>
          </w:p>
        </w:tc>
      </w:tr>
      <w:tr>
        <w:tc>
          <w:tcPr>
            <w:tcW w:type="dxa" w:w="4320"/>
          </w:tcPr>
          <w:p>
            <w:r>
              <w:t>Highest value</w:t>
            </w:r>
          </w:p>
        </w:tc>
        <w:tc>
          <w:tcPr>
            <w:tcW w:type="dxa" w:w="4320"/>
          </w:tcPr>
          <w:p>
            <w:r>
              <w:t>11,887,150</w:t>
            </w:r>
          </w:p>
        </w:tc>
      </w:tr>
    </w:tbl>
    <w:p>
      <w:pPr>
        <w:pStyle w:val="Heading2"/>
      </w:pPr>
      <w:r>
        <w:t>1.5 LIMITATIONS</w:t>
      </w:r>
    </w:p>
    <w:p>
      <w:r>
        <w:t>The analysis relies on information provided by management and on a commercial database; no assurance is given on its accuracy. Conclusions apply to the year reviewed.</w:t>
      </w:r>
    </w:p>
    <w:p>
      <w:pPr>
        <w:pStyle w:val="Heading1"/>
      </w:pPr>
      <w:r>
        <w:t>2. ANALYSIS OF THE TRANSACTION</w:t>
      </w:r>
    </w:p>
    <w:p>
      <w:pPr>
        <w:pStyle w:val="Heading2"/>
      </w:pPr>
      <w:r>
        <w:t>2.1 NATURE AND TERMS OF THE IDENTIFIED TRANSACTION</w:t>
      </w:r>
    </w:p>
    <w:p>
      <w:r>
        <w:t>The KMPs are paid a monthly salary and allowances for managing the company. The managerial remuneration for the year was AED 2,700,000, as disclosed in the related party note to the audited financial statements. The components are:</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Mr. PQR (AED)</w:t>
            </w:r>
          </w:p>
        </w:tc>
        <w:tc>
          <w:tcPr>
            <w:tcW w:type="dxa" w:w="2880"/>
          </w:tcPr>
          <w:p>
            <w:r>
              <w:t>Mr. XYZ (AED)</w:t>
            </w:r>
          </w:p>
        </w:tc>
      </w:tr>
      <w:tr>
        <w:tc>
          <w:tcPr>
            <w:tcW w:type="dxa" w:w="2880"/>
          </w:tcPr>
          <w:p>
            <w:r>
              <w:t>Salary</w:t>
            </w:r>
          </w:p>
        </w:tc>
        <w:tc>
          <w:tcPr>
            <w:tcW w:type="dxa" w:w="2880"/>
          </w:tcPr>
          <w:p>
            <w:r>
              <w:t>900,000</w:t>
            </w:r>
          </w:p>
        </w:tc>
        <w:tc>
          <w:tcPr>
            <w:tcW w:type="dxa" w:w="2880"/>
          </w:tcPr>
          <w:p>
            <w:r>
              <w:t>1,100,000</w:t>
            </w:r>
          </w:p>
        </w:tc>
      </w:tr>
      <w:tr>
        <w:tc>
          <w:tcPr>
            <w:tcW w:type="dxa" w:w="2880"/>
          </w:tcPr>
          <w:p>
            <w:r>
              <w:t>Allowances</w:t>
            </w:r>
          </w:p>
        </w:tc>
        <w:tc>
          <w:tcPr>
            <w:tcW w:type="dxa" w:w="2880"/>
          </w:tcPr>
          <w:p>
            <w:r>
              <w:t>300,000</w:t>
            </w:r>
          </w:p>
        </w:tc>
        <w:tc>
          <w:tcPr>
            <w:tcW w:type="dxa" w:w="2880"/>
          </w:tcPr>
          <w:p>
            <w:r>
              <w:t>250,000</w:t>
            </w:r>
          </w:p>
        </w:tc>
      </w:tr>
      <w:tr>
        <w:tc>
          <w:tcPr>
            <w:tcW w:type="dxa" w:w="2880"/>
          </w:tcPr>
          <w:p>
            <w:r>
              <w:t>End-of-service benefits</w:t>
            </w:r>
          </w:p>
        </w:tc>
        <w:tc>
          <w:tcPr>
            <w:tcW w:type="dxa" w:w="2880"/>
          </w:tcPr>
          <w:p>
            <w:r>
              <w:t>-</w:t>
            </w:r>
          </w:p>
        </w:tc>
        <w:tc>
          <w:tcPr>
            <w:tcW w:type="dxa" w:w="2880"/>
          </w:tcPr>
          <w:p>
            <w:r>
              <w:t>150,000</w:t>
            </w:r>
          </w:p>
        </w:tc>
      </w:tr>
      <w:tr>
        <w:tc>
          <w:tcPr>
            <w:tcW w:type="dxa" w:w="2880"/>
          </w:tcPr>
          <w:p>
            <w:r>
              <w:t>Total managerial remuneration</w:t>
            </w:r>
          </w:p>
        </w:tc>
        <w:tc>
          <w:tcPr>
            <w:tcW w:type="dxa" w:w="2880"/>
          </w:tcPr>
          <w:p>
            <w:r>
              <w:t>1,200,000</w:t>
            </w:r>
          </w:p>
        </w:tc>
        <w:tc>
          <w:tcPr>
            <w:tcW w:type="dxa" w:w="2880"/>
          </w:tcPr>
          <w:p>
            <w:r>
              <w:t>1,500,000</w:t>
            </w:r>
          </w:p>
        </w:tc>
      </w:tr>
    </w:tbl>
    <w:p>
      <w:r>
        <w:t>Total managerial remuneration: AED 2,700,000 (salary AED 2,000,000, allowances AED 550,000, end-of-service benefits AED 150,000).</w:t>
      </w:r>
    </w:p>
    <w:p>
      <w:pPr>
        <w:pStyle w:val="Heading2"/>
      </w:pPr>
      <w:r>
        <w:t>2.2 FUNCTIONAL ANALYSIS</w:t>
      </w:r>
    </w:p>
    <w:p>
      <w:r>
        <w:t>Functional analysis: the KMPs perform strategic leadership, sales oversight, banking relationships and operational supervision. The assets used are limited to office equipment and inventory. The risks borne by the company are market, credit, inventory and compliance risks; the KMPs control these risks.</w:t>
      </w:r>
    </w:p>
    <w:p>
      <w:pPr>
        <w:pStyle w:val="Heading2"/>
      </w:pPr>
      <w:r>
        <w:t>2.3 ASSET ANALYSIS</w:t>
      </w:r>
    </w:p>
    <w:p>
      <w:r>
        <w:t>The company uses working capital and inventory; no intangibles are used in the transaction.</w:t>
      </w:r>
    </w:p>
    <w:p>
      <w:pPr>
        <w:pStyle w:val="Heading2"/>
      </w:pPr>
      <w:r>
        <w:t>2.4 RISK ANALYSIS</w:t>
      </w:r>
    </w:p>
    <w:p>
      <w:r>
        <w:t>Market risk, credit risk and inventory risk are borne by the company. The KMPs do not bear the entrepreneurial risk of the company.</w:t>
      </w:r>
    </w:p>
    <w:p>
      <w:pPr>
        <w:pStyle w:val="Heading2"/>
      </w:pPr>
      <w:r>
        <w:t>2.5 CHARACTERISATION OF THE ENTITIES</w:t>
      </w:r>
    </w:p>
    <w:p>
      <w:r>
        <w:t>Company profile: the company is a trader of building materials. Industry analysis: the trading sector in the UAE is competitive and stable. Controlled transaction: payment of managerial remuneration to connected persons. The company is the tested party because it is the least complex party to the transaction and reliable data on comparable remuneration is available; the KMPs are the recipients of the payment.</w:t>
      </w:r>
    </w:p>
    <w:p>
      <w:pPr>
        <w:pStyle w:val="Heading1"/>
      </w:pPr>
      <w:r>
        <w:t>3. ECONOMIC ANALYSIS</w:t>
      </w:r>
    </w:p>
    <w:p>
      <w:pPr>
        <w:pStyle w:val="Heading2"/>
      </w:pPr>
      <w:r>
        <w:t>3.1 SELECTION OF TRANSFER PRICING METHOD</w:t>
      </w:r>
    </w:p>
    <w:p>
      <w:r>
        <w:t>Method selection: the External comparable uncontrolled price (CUP) method is the most appropriate method because reliable third-party remuneration data exist for comparable executive roles. The transactional net margin method (TNMM) is not appropriate because the transaction is a payment for services of individuals, not a profit margin of the company. The resale price method is not applicable as no goods are resold in the transaction. The cost plus method is not suitable as no cost base is marked up. The profit split method is not applicable as the transaction is not highly integrated. Profit level indicator: not applicable, as the CUP method compares the remuneration amount directly and no profit-based indicator is used.</w:t>
      </w:r>
    </w:p>
    <w:p>
      <w:pPr>
        <w:pStyle w:val="Heading2"/>
      </w:pPr>
      <w:r>
        <w:t>3.2 TRANSFER PRICING METHOD APPLIED</w:t>
      </w:r>
    </w:p>
    <w:p>
      <w:r>
        <w:t>Data period: single-year data for FY 2024 is used for all comparables. Comparability analysis: the comparables were identified through a database search with quantitative screening followed by a qualitative review of every result.</w:t>
      </w:r>
    </w:p>
    <w:p>
      <w:r>
        <w:t>Search strategy: first a UAE-only search was run (SIC Division F Wholesale Trade, compensation for FY 2024 greater than zero, keyword building OR construction); it gave no results. The search was extended to the Middle East and then to Europe OR Middle East. The searches gave 63 results ('Search dump'). After the accept / reject review, the final set has 27 comparable companies and 36 results were rejected; the reasons for each decision are in the accept-reject matrix (Annexure 8).</w:t>
      </w:r>
    </w:p>
    <w:tbl>
      <w:tblPr>
        <w:tblW w:type="auto" w:w="0"/>
        <w:tblLook w:firstColumn="1" w:firstRow="1" w:lastColumn="0" w:lastRow="0" w:noHBand="0" w:noVBand="1" w:val="04A0"/>
      </w:tblPr>
      <w:tblGrid>
        <w:gridCol w:w="4320"/>
        <w:gridCol w:w="4320"/>
      </w:tblGrid>
      <w:tr>
        <w:tc>
          <w:tcPr>
            <w:tcW w:type="dxa" w:w="4320"/>
          </w:tcPr>
          <w:p>
            <w:r>
              <w:t>Total potential comparables</w:t>
            </w:r>
          </w:p>
        </w:tc>
        <w:tc>
          <w:tcPr>
            <w:tcW w:type="dxa" w:w="4320"/>
          </w:tcPr>
          <w:p>
            <w:r>
              <w:t>63</w:t>
            </w:r>
          </w:p>
        </w:tc>
      </w:tr>
      <w:tr>
        <w:tc>
          <w:tcPr>
            <w:tcW w:type="dxa" w:w="4320"/>
          </w:tcPr>
          <w:p>
            <w:r>
              <w:t>Total manual review rejections</w:t>
            </w:r>
          </w:p>
        </w:tc>
        <w:tc>
          <w:tcPr>
            <w:tcW w:type="dxa" w:w="4320"/>
          </w:tcPr>
          <w:p>
            <w:r>
              <w:t>36</w:t>
            </w:r>
          </w:p>
        </w:tc>
      </w:tr>
      <w:tr>
        <w:tc>
          <w:tcPr>
            <w:tcW w:type="dxa" w:w="4320"/>
          </w:tcPr>
          <w:p>
            <w:r>
              <w:t>Accepted companies</w:t>
            </w:r>
          </w:p>
        </w:tc>
        <w:tc>
          <w:tcPr>
            <w:tcW w:type="dxa" w:w="4320"/>
          </w:tcPr>
          <w:p>
            <w:r>
              <w:t>27</w:t>
            </w:r>
          </w:p>
        </w:tc>
      </w:tr>
    </w:tbl>
    <w:p>
      <w:r>
        <w:t>Final set of comparables (continued)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Person Name</w:t>
            </w:r>
          </w:p>
        </w:tc>
        <w:tc>
          <w:tcPr>
            <w:tcW w:type="dxa" w:w="1728"/>
          </w:tcPr>
          <w:p>
            <w:r>
              <w:t>Company Name</w:t>
            </w:r>
          </w:p>
        </w:tc>
        <w:tc>
          <w:tcPr>
            <w:tcW w:type="dxa" w:w="1728"/>
          </w:tcPr>
          <w:p>
            <w:r>
              <w:t>Professional Job Functions</w:t>
            </w:r>
          </w:p>
        </w:tc>
        <w:tc>
          <w:tcPr>
            <w:tcW w:type="dxa" w:w="1728"/>
          </w:tcPr>
          <w:p>
            <w:r>
              <w:t>Total Revenue [FY 2024] (AED mm)</w:t>
            </w:r>
          </w:p>
        </w:tc>
        <w:tc>
          <w:tcPr>
            <w:tcW w:type="dxa" w:w="1728"/>
          </w:tcPr>
          <w:p>
            <w:r>
              <w:t>Total Compensation [FY 2024] (AED)</w:t>
            </w:r>
          </w:p>
        </w:tc>
      </w:tr>
      <w:tr>
        <w:tc>
          <w:tcPr>
            <w:tcW w:type="dxa" w:w="1728"/>
          </w:tcPr>
          <w:p>
            <w:r>
              <w:t>Executive 08</w:t>
            </w:r>
          </w:p>
        </w:tc>
        <w:tc>
          <w:tcPr>
            <w:tcW w:type="dxa" w:w="1728"/>
          </w:tcPr>
          <w:p>
            <w:r>
              <w:t>Pemberton Merchants plc</w:t>
            </w:r>
          </w:p>
        </w:tc>
        <w:tc>
          <w:tcPr>
            <w:tcW w:type="dxa" w:w="1728"/>
          </w:tcPr>
          <w:p>
            <w:r>
              <w:t>Managing Director</w:t>
            </w:r>
          </w:p>
        </w:tc>
        <w:tc>
          <w:tcPr>
            <w:tcW w:type="dxa" w:w="1728"/>
          </w:tcPr>
          <w:p>
            <w:r>
              <w:t>667.6</w:t>
            </w:r>
          </w:p>
        </w:tc>
        <w:tc>
          <w:tcPr>
            <w:tcW w:type="dxa" w:w="1728"/>
          </w:tcPr>
          <w:p>
            <w:r>
              <w:t>1,103,666</w:t>
            </w:r>
          </w:p>
        </w:tc>
      </w:tr>
      <w:tr>
        <w:tc>
          <w:tcPr>
            <w:tcW w:type="dxa" w:w="1728"/>
          </w:tcPr>
          <w:p>
            <w:r>
              <w:t>Executive 03</w:t>
            </w:r>
          </w:p>
        </w:tc>
        <w:tc>
          <w:tcPr>
            <w:tcW w:type="dxa" w:w="1728"/>
          </w:tcPr>
          <w:p>
            <w:r>
              <w:t>Harrowgate Timber &amp; Stone Ltd</w:t>
            </w:r>
          </w:p>
        </w:tc>
        <w:tc>
          <w:tcPr>
            <w:tcW w:type="dxa" w:w="1728"/>
          </w:tcPr>
          <w:p>
            <w:r>
              <w:t>CEO &amp; Director</w:t>
            </w:r>
          </w:p>
        </w:tc>
        <w:tc>
          <w:tcPr>
            <w:tcW w:type="dxa" w:w="1728"/>
          </w:tcPr>
          <w:p>
            <w:r>
              <w:t>817.6</w:t>
            </w:r>
          </w:p>
        </w:tc>
        <w:tc>
          <w:tcPr>
            <w:tcW w:type="dxa" w:w="1728"/>
          </w:tcPr>
          <w:p>
            <w:r>
              <w:t>506,339</w:t>
            </w:r>
          </w:p>
        </w:tc>
      </w:tr>
      <w:tr>
        <w:tc>
          <w:tcPr>
            <w:tcW w:type="dxa" w:w="1728"/>
          </w:tcPr>
          <w:p>
            <w:r>
              <w:t>Executive 22</w:t>
            </w:r>
          </w:p>
        </w:tc>
        <w:tc>
          <w:tcPr>
            <w:tcW w:type="dxa" w:w="1728"/>
          </w:tcPr>
          <w:p>
            <w:r>
              <w:t>Saltmarsh Timber plc</w:t>
            </w:r>
          </w:p>
        </w:tc>
        <w:tc>
          <w:tcPr>
            <w:tcW w:type="dxa" w:w="1728"/>
          </w:tcPr>
          <w:p>
            <w:r>
              <w:t>MD &amp; Executive Director</w:t>
            </w:r>
          </w:p>
        </w:tc>
        <w:tc>
          <w:tcPr>
            <w:tcW w:type="dxa" w:w="1728"/>
          </w:tcPr>
          <w:p>
            <w:r>
              <w:t>1,855.1</w:t>
            </w:r>
          </w:p>
        </w:tc>
        <w:tc>
          <w:tcPr>
            <w:tcW w:type="dxa" w:w="1728"/>
          </w:tcPr>
          <w:p>
            <w:r>
              <w:t>4,295,113</w:t>
            </w:r>
          </w:p>
        </w:tc>
      </w:tr>
      <w:tr>
        <w:tc>
          <w:tcPr>
            <w:tcW w:type="dxa" w:w="1728"/>
          </w:tcPr>
          <w:p>
            <w:r>
              <w:t>Executive 18</w:t>
            </w:r>
          </w:p>
        </w:tc>
        <w:tc>
          <w:tcPr>
            <w:tcW w:type="dxa" w:w="1728"/>
          </w:tcPr>
          <w:p>
            <w:r>
              <w:t>Sandford Joinery Group plc</w:t>
            </w:r>
          </w:p>
        </w:tc>
        <w:tc>
          <w:tcPr>
            <w:tcW w:type="dxa" w:w="1728"/>
          </w:tcPr>
          <w:p>
            <w:r>
              <w:t>Managing Director</w:t>
            </w:r>
          </w:p>
        </w:tc>
        <w:tc>
          <w:tcPr>
            <w:tcW w:type="dxa" w:w="1728"/>
          </w:tcPr>
          <w:p>
            <w:r>
              <w:t>2,599.1</w:t>
            </w:r>
          </w:p>
        </w:tc>
        <w:tc>
          <w:tcPr>
            <w:tcW w:type="dxa" w:w="1728"/>
          </w:tcPr>
          <w:p>
            <w:r>
              <w:t>2,359,452</w:t>
            </w:r>
          </w:p>
        </w:tc>
      </w:tr>
      <w:tr>
        <w:tc>
          <w:tcPr>
            <w:tcW w:type="dxa" w:w="1728"/>
          </w:tcPr>
          <w:p>
            <w:r>
              <w:t>Executive 02</w:t>
            </w:r>
          </w:p>
        </w:tc>
        <w:tc>
          <w:tcPr>
            <w:tcW w:type="dxa" w:w="1728"/>
          </w:tcPr>
          <w:p>
            <w:r>
              <w:t>Castellan Materials plc</w:t>
            </w:r>
          </w:p>
        </w:tc>
        <w:tc>
          <w:tcPr>
            <w:tcW w:type="dxa" w:w="1728"/>
          </w:tcPr>
          <w:p>
            <w:r>
              <w:t>MD &amp; Executive Director</w:t>
            </w:r>
          </w:p>
        </w:tc>
        <w:tc>
          <w:tcPr>
            <w:tcW w:type="dxa" w:w="1728"/>
          </w:tcPr>
          <w:p>
            <w:r>
              <w:t>1,904.4</w:t>
            </w:r>
          </w:p>
        </w:tc>
        <w:tc>
          <w:tcPr>
            <w:tcW w:type="dxa" w:w="1728"/>
          </w:tcPr>
          <w:p>
            <w:r>
              <w:t>357,226</w:t>
            </w:r>
          </w:p>
        </w:tc>
      </w:tr>
      <w:tr>
        <w:tc>
          <w:tcPr>
            <w:tcW w:type="dxa" w:w="1728"/>
          </w:tcPr>
          <w:p>
            <w:r>
              <w:t>Executive 20</w:t>
            </w:r>
          </w:p>
        </w:tc>
        <w:tc>
          <w:tcPr>
            <w:tcW w:type="dxa" w:w="1728"/>
          </w:tcPr>
          <w:p>
            <w:r>
              <w:t>Oakridge Building Products Ltd</w:t>
            </w:r>
          </w:p>
        </w:tc>
        <w:tc>
          <w:tcPr>
            <w:tcW w:type="dxa" w:w="1728"/>
          </w:tcPr>
          <w:p>
            <w:r>
              <w:t>President &amp; CEO</w:t>
            </w:r>
          </w:p>
        </w:tc>
        <w:tc>
          <w:tcPr>
            <w:tcW w:type="dxa" w:w="1728"/>
          </w:tcPr>
          <w:p>
            <w:r>
              <w:t>1,966.6</w:t>
            </w:r>
          </w:p>
        </w:tc>
        <w:tc>
          <w:tcPr>
            <w:tcW w:type="dxa" w:w="1728"/>
          </w:tcPr>
          <w:p>
            <w:r>
              <w:t>2,775,000</w:t>
            </w:r>
          </w:p>
        </w:tc>
      </w:tr>
      <w:tr>
        <w:tc>
          <w:tcPr>
            <w:tcW w:type="dxa" w:w="1728"/>
          </w:tcPr>
          <w:p>
            <w:r>
              <w:t>Executive 01</w:t>
            </w:r>
          </w:p>
        </w:tc>
        <w:tc>
          <w:tcPr>
            <w:tcW w:type="dxa" w:w="1728"/>
          </w:tcPr>
          <w:p>
            <w:r>
              <w:t>Norvik Building Supplies AB</w:t>
            </w:r>
          </w:p>
        </w:tc>
        <w:tc>
          <w:tcPr>
            <w:tcW w:type="dxa" w:w="1728"/>
          </w:tcPr>
          <w:p>
            <w:r>
              <w:t>Managing Director</w:t>
            </w:r>
          </w:p>
        </w:tc>
        <w:tc>
          <w:tcPr>
            <w:tcW w:type="dxa" w:w="1728"/>
          </w:tcPr>
          <w:p>
            <w:r>
              <w:t>1,243.4</w:t>
            </w:r>
          </w:p>
        </w:tc>
        <w:tc>
          <w:tcPr>
            <w:tcW w:type="dxa" w:w="1728"/>
          </w:tcPr>
          <w:p>
            <w:r>
              <w:t>207,793</w:t>
            </w:r>
          </w:p>
        </w:tc>
      </w:tr>
      <w:tr>
        <w:tc>
          <w:tcPr>
            <w:tcW w:type="dxa" w:w="1728"/>
          </w:tcPr>
          <w:p>
            <w:r>
              <w:t>Executive 09</w:t>
            </w:r>
          </w:p>
        </w:tc>
        <w:tc>
          <w:tcPr>
            <w:tcW w:type="dxa" w:w="1728"/>
          </w:tcPr>
          <w:p>
            <w:r>
              <w:t>Corvalis Cement Trading SpA</w:t>
            </w:r>
          </w:p>
        </w:tc>
        <w:tc>
          <w:tcPr>
            <w:tcW w:type="dxa" w:w="1728"/>
          </w:tcPr>
          <w:p>
            <w:r>
              <w:t>CEO &amp; President</w:t>
            </w:r>
          </w:p>
        </w:tc>
        <w:tc>
          <w:tcPr>
            <w:tcW w:type="dxa" w:w="1728"/>
          </w:tcPr>
          <w:p>
            <w:r>
              <w:t>2,120.2</w:t>
            </w:r>
          </w:p>
        </w:tc>
        <w:tc>
          <w:tcPr>
            <w:tcW w:type="dxa" w:w="1728"/>
          </w:tcPr>
          <w:p>
            <w:r>
              <w:t>1,174,226</w:t>
            </w:r>
          </w:p>
        </w:tc>
      </w:tr>
      <w:tr>
        <w:tc>
          <w:tcPr>
            <w:tcW w:type="dxa" w:w="1728"/>
          </w:tcPr>
          <w:p>
            <w:r>
              <w:t>Executive 16</w:t>
            </w:r>
          </w:p>
        </w:tc>
        <w:tc>
          <w:tcPr>
            <w:tcW w:type="dxa" w:w="1728"/>
          </w:tcPr>
          <w:p>
            <w:r>
              <w:t>Kestrel Plumbing &amp; Tile plc</w:t>
            </w:r>
          </w:p>
        </w:tc>
        <w:tc>
          <w:tcPr>
            <w:tcW w:type="dxa" w:w="1728"/>
          </w:tcPr>
          <w:p>
            <w:r>
              <w:t>Group Managing Director</w:t>
            </w:r>
          </w:p>
        </w:tc>
        <w:tc>
          <w:tcPr>
            <w:tcW w:type="dxa" w:w="1728"/>
          </w:tcPr>
          <w:p>
            <w:r>
              <w:t>1,369.5</w:t>
            </w:r>
          </w:p>
        </w:tc>
        <w:tc>
          <w:tcPr>
            <w:tcW w:type="dxa" w:w="1728"/>
          </w:tcPr>
          <w:p>
            <w:r>
              <w:t>1,942,226</w:t>
            </w:r>
          </w:p>
        </w:tc>
      </w:tr>
      <w:tr>
        <w:tc>
          <w:tcPr>
            <w:tcW w:type="dxa" w:w="1728"/>
          </w:tcPr>
          <w:p>
            <w:r>
              <w:t>Executive 25</w:t>
            </w:r>
          </w:p>
        </w:tc>
        <w:tc>
          <w:tcPr>
            <w:tcW w:type="dxa" w:w="1728"/>
          </w:tcPr>
          <w:p>
            <w:r>
              <w:t>Eskilstuna Järn &amp; Bygg AB</w:t>
            </w:r>
          </w:p>
        </w:tc>
        <w:tc>
          <w:tcPr>
            <w:tcW w:type="dxa" w:w="1728"/>
          </w:tcPr>
          <w:p>
            <w:r>
              <w:t>President &amp; CEO</w:t>
            </w:r>
          </w:p>
        </w:tc>
        <w:tc>
          <w:tcPr>
            <w:tcW w:type="dxa" w:w="1728"/>
          </w:tcPr>
          <w:p>
            <w:r>
              <w:t>584.3</w:t>
            </w:r>
          </w:p>
        </w:tc>
        <w:tc>
          <w:tcPr>
            <w:tcW w:type="dxa" w:w="1728"/>
          </w:tcPr>
          <w:p>
            <w:r>
              <w:t>8,850,452</w:t>
            </w:r>
          </w:p>
        </w:tc>
      </w:tr>
      <w:tr>
        <w:tc>
          <w:tcPr>
            <w:tcW w:type="dxa" w:w="1728"/>
          </w:tcPr>
          <w:p>
            <w:r>
              <w:t>Executive 23</w:t>
            </w:r>
          </w:p>
        </w:tc>
        <w:tc>
          <w:tcPr>
            <w:tcW w:type="dxa" w:w="1728"/>
          </w:tcPr>
          <w:p>
            <w:r>
              <w:t>Grunwald Handel GmbH</w:t>
            </w:r>
          </w:p>
        </w:tc>
        <w:tc>
          <w:tcPr>
            <w:tcW w:type="dxa" w:w="1728"/>
          </w:tcPr>
          <w:p>
            <w:r>
              <w:t>CEO &amp; Director</w:t>
            </w:r>
          </w:p>
        </w:tc>
        <w:tc>
          <w:tcPr>
            <w:tcW w:type="dxa" w:w="1728"/>
          </w:tcPr>
          <w:p>
            <w:r>
              <w:t>2,272.1</w:t>
            </w:r>
          </w:p>
        </w:tc>
        <w:tc>
          <w:tcPr>
            <w:tcW w:type="dxa" w:w="1728"/>
          </w:tcPr>
          <w:p>
            <w:r>
              <w:t>5,813,226</w:t>
            </w:r>
          </w:p>
        </w:tc>
      </w:tr>
      <w:tr>
        <w:tc>
          <w:tcPr>
            <w:tcW w:type="dxa" w:w="1728"/>
          </w:tcPr>
          <w:p>
            <w:r>
              <w:t>Executive 10</w:t>
            </w:r>
          </w:p>
        </w:tc>
        <w:tc>
          <w:tcPr>
            <w:tcW w:type="dxa" w:w="1728"/>
          </w:tcPr>
          <w:p>
            <w:r>
              <w:t>Hallström Bygg AB</w:t>
            </w:r>
          </w:p>
        </w:tc>
        <w:tc>
          <w:tcPr>
            <w:tcW w:type="dxa" w:w="1728"/>
          </w:tcPr>
          <w:p>
            <w:r>
              <w:t>President &amp; CEO</w:t>
            </w:r>
          </w:p>
        </w:tc>
        <w:tc>
          <w:tcPr>
            <w:tcW w:type="dxa" w:w="1728"/>
          </w:tcPr>
          <w:p>
            <w:r>
              <w:t>1,315.7</w:t>
            </w:r>
          </w:p>
        </w:tc>
        <w:tc>
          <w:tcPr>
            <w:tcW w:type="dxa" w:w="1728"/>
          </w:tcPr>
          <w:p>
            <w:r>
              <w:t>1,244,339</w:t>
            </w:r>
          </w:p>
        </w:tc>
      </w:tr>
      <w:tr>
        <w:tc>
          <w:tcPr>
            <w:tcW w:type="dxa" w:w="1728"/>
          </w:tcPr>
          <w:p>
            <w:r>
              <w:t>Executive 06</w:t>
            </w:r>
          </w:p>
        </w:tc>
        <w:tc>
          <w:tcPr>
            <w:tcW w:type="dxa" w:w="1728"/>
          </w:tcPr>
          <w:p>
            <w:r>
              <w:t>Ostrander Construction Goods Oy</w:t>
            </w:r>
          </w:p>
        </w:tc>
        <w:tc>
          <w:tcPr>
            <w:tcW w:type="dxa" w:w="1728"/>
          </w:tcPr>
          <w:p>
            <w:r>
              <w:t>Group Managing Director</w:t>
            </w:r>
          </w:p>
        </w:tc>
        <w:tc>
          <w:tcPr>
            <w:tcW w:type="dxa" w:w="1728"/>
          </w:tcPr>
          <w:p>
            <w:r>
              <w:t>1,874.5</w:t>
            </w:r>
          </w:p>
        </w:tc>
        <w:tc>
          <w:tcPr>
            <w:tcW w:type="dxa" w:w="1728"/>
          </w:tcPr>
          <w:p>
            <w:r>
              <w:t>954,678</w:t>
            </w:r>
          </w:p>
        </w:tc>
      </w:tr>
      <w:tr>
        <w:tc>
          <w:tcPr>
            <w:tcW w:type="dxa" w:w="1728"/>
          </w:tcPr>
          <w:p>
            <w:r>
              <w:t>Executive 24</w:t>
            </w:r>
          </w:p>
        </w:tc>
        <w:tc>
          <w:tcPr>
            <w:tcW w:type="dxa" w:w="1728"/>
          </w:tcPr>
          <w:p>
            <w:r>
              <w:t>Ferrant Distribution SA</w:t>
            </w:r>
          </w:p>
        </w:tc>
        <w:tc>
          <w:tcPr>
            <w:tcW w:type="dxa" w:w="1728"/>
          </w:tcPr>
          <w:p>
            <w:r>
              <w:t>Managing Director &amp; CEO</w:t>
            </w:r>
          </w:p>
        </w:tc>
        <w:tc>
          <w:tcPr>
            <w:tcW w:type="dxa" w:w="1728"/>
          </w:tcPr>
          <w:p>
            <w:r>
              <w:t>419.8</w:t>
            </w:r>
          </w:p>
        </w:tc>
        <w:tc>
          <w:tcPr>
            <w:tcW w:type="dxa" w:w="1728"/>
          </w:tcPr>
          <w:p>
            <w:r>
              <w:t>7,332,339</w:t>
            </w:r>
          </w:p>
        </w:tc>
      </w:tr>
      <w:tr>
        <w:tc>
          <w:tcPr>
            <w:tcW w:type="dxa" w:w="1728"/>
          </w:tcPr>
          <w:p>
            <w:r>
              <w:t>Executive 17</w:t>
            </w:r>
          </w:p>
        </w:tc>
        <w:tc>
          <w:tcPr>
            <w:tcW w:type="dxa" w:w="1728"/>
          </w:tcPr>
          <w:p>
            <w:r>
              <w:t>Almqvist Byggvaror AB</w:t>
            </w:r>
          </w:p>
        </w:tc>
        <w:tc>
          <w:tcPr>
            <w:tcW w:type="dxa" w:w="1728"/>
          </w:tcPr>
          <w:p>
            <w:r>
              <w:t>CEO</w:t>
            </w:r>
          </w:p>
        </w:tc>
        <w:tc>
          <w:tcPr>
            <w:tcW w:type="dxa" w:w="1728"/>
          </w:tcPr>
          <w:p>
            <w:r>
              <w:t>1,912.3</w:t>
            </w:r>
          </w:p>
        </w:tc>
        <w:tc>
          <w:tcPr>
            <w:tcW w:type="dxa" w:w="1728"/>
          </w:tcPr>
          <w:p>
            <w:r>
              <w:t>2,150,339</w:t>
            </w:r>
          </w:p>
        </w:tc>
      </w:tr>
      <w:tr>
        <w:tc>
          <w:tcPr>
            <w:tcW w:type="dxa" w:w="1728"/>
          </w:tcPr>
          <w:p>
            <w:r>
              <w:t>Executive 19</w:t>
            </w:r>
          </w:p>
        </w:tc>
        <w:tc>
          <w:tcPr>
            <w:tcW w:type="dxa" w:w="1728"/>
          </w:tcPr>
          <w:p>
            <w:r>
              <w:t>Bellaire Matériaux SA</w:t>
            </w:r>
          </w:p>
        </w:tc>
        <w:tc>
          <w:tcPr>
            <w:tcW w:type="dxa" w:w="1728"/>
          </w:tcPr>
          <w:p>
            <w:r>
              <w:t>CEO &amp; President</w:t>
            </w:r>
          </w:p>
        </w:tc>
        <w:tc>
          <w:tcPr>
            <w:tcW w:type="dxa" w:w="1728"/>
          </w:tcPr>
          <w:p>
            <w:r>
              <w:t>568.3</w:t>
            </w:r>
          </w:p>
        </w:tc>
        <w:tc>
          <w:tcPr>
            <w:tcW w:type="dxa" w:w="1728"/>
          </w:tcPr>
          <w:p>
            <w:r>
              <w:t>2,567,565</w:t>
            </w:r>
          </w:p>
        </w:tc>
      </w:tr>
      <w:tr>
        <w:tc>
          <w:tcPr>
            <w:tcW w:type="dxa" w:w="1728"/>
          </w:tcPr>
          <w:p>
            <w:r>
              <w:t>Executive 07</w:t>
            </w:r>
          </w:p>
        </w:tc>
        <w:tc>
          <w:tcPr>
            <w:tcW w:type="dxa" w:w="1728"/>
          </w:tcPr>
          <w:p>
            <w:r>
              <w:t>Lindqvist Hardware AB</w:t>
            </w:r>
          </w:p>
        </w:tc>
        <w:tc>
          <w:tcPr>
            <w:tcW w:type="dxa" w:w="1728"/>
          </w:tcPr>
          <w:p>
            <w:r>
              <w:t>CEO</w:t>
            </w:r>
          </w:p>
        </w:tc>
        <w:tc>
          <w:tcPr>
            <w:tcW w:type="dxa" w:w="1728"/>
          </w:tcPr>
          <w:p>
            <w:r>
              <w:t>719.0</w:t>
            </w:r>
          </w:p>
        </w:tc>
        <w:tc>
          <w:tcPr>
            <w:tcW w:type="dxa" w:w="1728"/>
          </w:tcPr>
          <w:p>
            <w:r>
              <w:t>1,103,000</w:t>
            </w:r>
          </w:p>
        </w:tc>
      </w:tr>
      <w:tr>
        <w:tc>
          <w:tcPr>
            <w:tcW w:type="dxa" w:w="1728"/>
          </w:tcPr>
          <w:p>
            <w:r>
              <w:t>Executive 27</w:t>
            </w:r>
          </w:p>
        </w:tc>
        <w:tc>
          <w:tcPr>
            <w:tcW w:type="dxa" w:w="1728"/>
          </w:tcPr>
          <w:p>
            <w:r>
              <w:t>Kallio Rakennustarvike Oy</w:t>
            </w:r>
          </w:p>
        </w:tc>
        <w:tc>
          <w:tcPr>
            <w:tcW w:type="dxa" w:w="1728"/>
          </w:tcPr>
          <w:p>
            <w:r>
              <w:t>CEO</w:t>
            </w:r>
          </w:p>
        </w:tc>
        <w:tc>
          <w:tcPr>
            <w:tcW w:type="dxa" w:w="1728"/>
          </w:tcPr>
          <w:p>
            <w:r>
              <w:t>189.7</w:t>
            </w:r>
          </w:p>
        </w:tc>
        <w:tc>
          <w:tcPr>
            <w:tcW w:type="dxa" w:w="1728"/>
          </w:tcPr>
          <w:p>
            <w:r>
              <w:t>11,887,150</w:t>
            </w:r>
          </w:p>
        </w:tc>
      </w:tr>
      <w:tr>
        <w:tc>
          <w:tcPr>
            <w:tcW w:type="dxa" w:w="1728"/>
          </w:tcPr>
          <w:p>
            <w:r>
              <w:t>Executive 26</w:t>
            </w:r>
          </w:p>
        </w:tc>
        <w:tc>
          <w:tcPr>
            <w:tcW w:type="dxa" w:w="1728"/>
          </w:tcPr>
          <w:p>
            <w:r>
              <w:t>Montrose Tiles &amp; Surfaces plc</w:t>
            </w:r>
          </w:p>
        </w:tc>
        <w:tc>
          <w:tcPr>
            <w:tcW w:type="dxa" w:w="1728"/>
          </w:tcPr>
          <w:p>
            <w:r>
              <w:t>Group Managing Director</w:t>
            </w:r>
          </w:p>
        </w:tc>
        <w:tc>
          <w:tcPr>
            <w:tcW w:type="dxa" w:w="1728"/>
          </w:tcPr>
          <w:p>
            <w:r>
              <w:t>1,094.5</w:t>
            </w:r>
          </w:p>
        </w:tc>
        <w:tc>
          <w:tcPr>
            <w:tcW w:type="dxa" w:w="1728"/>
          </w:tcPr>
          <w:p>
            <w:r>
              <w:t>10,369,565</w:t>
            </w:r>
          </w:p>
        </w:tc>
      </w:tr>
      <w:tr>
        <w:tc>
          <w:tcPr>
            <w:tcW w:type="dxa" w:w="1728"/>
          </w:tcPr>
          <w:p>
            <w:r>
              <w:t>Executive 13</w:t>
            </w:r>
          </w:p>
        </w:tc>
        <w:tc>
          <w:tcPr>
            <w:tcW w:type="dxa" w:w="1728"/>
          </w:tcPr>
          <w:p>
            <w:r>
              <w:t>Dunmore Builders Merchants Ltd</w:t>
            </w:r>
          </w:p>
        </w:tc>
        <w:tc>
          <w:tcPr>
            <w:tcW w:type="dxa" w:w="1728"/>
          </w:tcPr>
          <w:p>
            <w:r>
              <w:t>CEO &amp; Director</w:t>
            </w:r>
          </w:p>
        </w:tc>
        <w:tc>
          <w:tcPr>
            <w:tcW w:type="dxa" w:w="1728"/>
          </w:tcPr>
          <w:p>
            <w:r>
              <w:t>2,505.9</w:t>
            </w:r>
          </w:p>
        </w:tc>
        <w:tc>
          <w:tcPr>
            <w:tcW w:type="dxa" w:w="1728"/>
          </w:tcPr>
          <w:p>
            <w:r>
              <w:t>1,455,678</w:t>
            </w:r>
          </w:p>
        </w:tc>
      </w:tr>
      <w:tr>
        <w:tc>
          <w:tcPr>
            <w:tcW w:type="dxa" w:w="1728"/>
          </w:tcPr>
          <w:p>
            <w:r>
              <w:t>Executive 11</w:t>
            </w:r>
          </w:p>
        </w:tc>
        <w:tc>
          <w:tcPr>
            <w:tcW w:type="dxa" w:w="1728"/>
          </w:tcPr>
          <w:p>
            <w:r>
              <w:t>Whitcombe Roofing Supplies plc</w:t>
            </w:r>
          </w:p>
        </w:tc>
        <w:tc>
          <w:tcPr>
            <w:tcW w:type="dxa" w:w="1728"/>
          </w:tcPr>
          <w:p>
            <w:r>
              <w:t>Managing Director</w:t>
            </w:r>
          </w:p>
        </w:tc>
        <w:tc>
          <w:tcPr>
            <w:tcW w:type="dxa" w:w="1728"/>
          </w:tcPr>
          <w:p>
            <w:r>
              <w:t>1,104.6</w:t>
            </w:r>
          </w:p>
        </w:tc>
        <w:tc>
          <w:tcPr>
            <w:tcW w:type="dxa" w:w="1728"/>
          </w:tcPr>
          <w:p>
            <w:r>
              <w:t>1,315,452</w:t>
            </w:r>
          </w:p>
        </w:tc>
      </w:tr>
      <w:tr>
        <w:tc>
          <w:tcPr>
            <w:tcW w:type="dxa" w:w="1728"/>
          </w:tcPr>
          <w:p>
            <w:r>
              <w:t>Executive 05</w:t>
            </w:r>
          </w:p>
        </w:tc>
        <w:tc>
          <w:tcPr>
            <w:tcW w:type="dxa" w:w="1728"/>
          </w:tcPr>
          <w:p>
            <w:r>
              <w:t>Valmont Trade SA</w:t>
            </w:r>
          </w:p>
        </w:tc>
        <w:tc>
          <w:tcPr>
            <w:tcW w:type="dxa" w:w="1728"/>
          </w:tcPr>
          <w:p>
            <w:r>
              <w:t>President &amp; CEO</w:t>
            </w:r>
          </w:p>
        </w:tc>
        <w:tc>
          <w:tcPr>
            <w:tcW w:type="dxa" w:w="1728"/>
          </w:tcPr>
          <w:p>
            <w:r>
              <w:t>1,089.8</w:t>
            </w:r>
          </w:p>
        </w:tc>
        <w:tc>
          <w:tcPr>
            <w:tcW w:type="dxa" w:w="1728"/>
          </w:tcPr>
          <w:p>
            <w:r>
              <w:t>805,565</w:t>
            </w:r>
          </w:p>
        </w:tc>
      </w:tr>
      <w:tr>
        <w:tc>
          <w:tcPr>
            <w:tcW w:type="dxa" w:w="1728"/>
          </w:tcPr>
          <w:p>
            <w:r>
              <w:t>Executive 04</w:t>
            </w:r>
          </w:p>
        </w:tc>
        <w:tc>
          <w:tcPr>
            <w:tcW w:type="dxa" w:w="1728"/>
          </w:tcPr>
          <w:p>
            <w:r>
              <w:t>Brenner Baustoffe AG</w:t>
            </w:r>
          </w:p>
        </w:tc>
        <w:tc>
          <w:tcPr>
            <w:tcW w:type="dxa" w:w="1728"/>
          </w:tcPr>
          <w:p>
            <w:r>
              <w:t>Managing Director &amp; CEO</w:t>
            </w:r>
          </w:p>
        </w:tc>
        <w:tc>
          <w:tcPr>
            <w:tcW w:type="dxa" w:w="1728"/>
          </w:tcPr>
          <w:p>
            <w:r>
              <w:t>2,311.5</w:t>
            </w:r>
          </w:p>
        </w:tc>
        <w:tc>
          <w:tcPr>
            <w:tcW w:type="dxa" w:w="1728"/>
          </w:tcPr>
          <w:p>
            <w:r>
              <w:t>655,452</w:t>
            </w:r>
          </w:p>
        </w:tc>
      </w:tr>
      <w:tr>
        <w:tc>
          <w:tcPr>
            <w:tcW w:type="dxa" w:w="1728"/>
          </w:tcPr>
          <w:p>
            <w:r>
              <w:t>Executive 15</w:t>
            </w:r>
          </w:p>
        </w:tc>
        <w:tc>
          <w:tcPr>
            <w:tcW w:type="dxa" w:w="1728"/>
          </w:tcPr>
          <w:p>
            <w:r>
              <w:t>Rovena Steel Distribution Srl</w:t>
            </w:r>
          </w:p>
        </w:tc>
        <w:tc>
          <w:tcPr>
            <w:tcW w:type="dxa" w:w="1728"/>
          </w:tcPr>
          <w:p>
            <w:r>
              <w:t>President &amp; CEO</w:t>
            </w:r>
          </w:p>
        </w:tc>
        <w:tc>
          <w:tcPr>
            <w:tcW w:type="dxa" w:w="1728"/>
          </w:tcPr>
          <w:p>
            <w:r>
              <w:t>1,842.4</w:t>
            </w:r>
          </w:p>
        </w:tc>
        <w:tc>
          <w:tcPr>
            <w:tcW w:type="dxa" w:w="1728"/>
          </w:tcPr>
          <w:p>
            <w:r>
              <w:t>1,734,113</w:t>
            </w:r>
          </w:p>
        </w:tc>
      </w:tr>
      <w:tr>
        <w:tc>
          <w:tcPr>
            <w:tcW w:type="dxa" w:w="1728"/>
          </w:tcPr>
          <w:p>
            <w:r>
              <w:t>Executive 14</w:t>
            </w:r>
          </w:p>
        </w:tc>
        <w:tc>
          <w:tcPr>
            <w:tcW w:type="dxa" w:w="1728"/>
          </w:tcPr>
          <w:p>
            <w:r>
              <w:t>Tessaly Aggregates SA</w:t>
            </w:r>
          </w:p>
        </w:tc>
        <w:tc>
          <w:tcPr>
            <w:tcW w:type="dxa" w:w="1728"/>
          </w:tcPr>
          <w:p>
            <w:r>
              <w:t>Managing Director &amp; CEO</w:t>
            </w:r>
          </w:p>
        </w:tc>
        <w:tc>
          <w:tcPr>
            <w:tcW w:type="dxa" w:w="1728"/>
          </w:tcPr>
          <w:p>
            <w:r>
              <w:t>832.4</w:t>
            </w:r>
          </w:p>
        </w:tc>
        <w:tc>
          <w:tcPr>
            <w:tcW w:type="dxa" w:w="1728"/>
          </w:tcPr>
          <w:p>
            <w:r>
              <w:t>1,525,809</w:t>
            </w:r>
          </w:p>
        </w:tc>
      </w:tr>
      <w:tr>
        <w:tc>
          <w:tcPr>
            <w:tcW w:type="dxa" w:w="1728"/>
          </w:tcPr>
          <w:p>
            <w:r>
              <w:t>Executive 21</w:t>
            </w:r>
          </w:p>
        </w:tc>
        <w:tc>
          <w:tcPr>
            <w:tcW w:type="dxa" w:w="1728"/>
          </w:tcPr>
          <w:p>
            <w:r>
              <w:t>Verhoeven Bouwgroep NV</w:t>
            </w:r>
          </w:p>
        </w:tc>
        <w:tc>
          <w:tcPr>
            <w:tcW w:type="dxa" w:w="1728"/>
          </w:tcPr>
          <w:p>
            <w:r>
              <w:t>Managing Director</w:t>
            </w:r>
          </w:p>
        </w:tc>
        <w:tc>
          <w:tcPr>
            <w:tcW w:type="dxa" w:w="1728"/>
          </w:tcPr>
          <w:p>
            <w:r>
              <w:t>1,239.4</w:t>
            </w:r>
          </w:p>
        </w:tc>
        <w:tc>
          <w:tcPr>
            <w:tcW w:type="dxa" w:w="1728"/>
          </w:tcPr>
          <w:p>
            <w:r>
              <w:t>2,776,338</w:t>
            </w:r>
          </w:p>
        </w:tc>
      </w:tr>
      <w:tr>
        <w:tc>
          <w:tcPr>
            <w:tcW w:type="dxa" w:w="1728"/>
          </w:tcPr>
          <w:p>
            <w:r>
              <w:t>Executive 12</w:t>
            </w:r>
          </w:p>
        </w:tc>
        <w:tc>
          <w:tcPr>
            <w:tcW w:type="dxa" w:w="1728"/>
          </w:tcPr>
          <w:p>
            <w:r>
              <w:t>Marnet Materiaux SAS</w:t>
            </w:r>
          </w:p>
        </w:tc>
        <w:tc>
          <w:tcPr>
            <w:tcW w:type="dxa" w:w="1728"/>
          </w:tcPr>
          <w:p>
            <w:r>
              <w:t>MD &amp; Executive Director</w:t>
            </w:r>
          </w:p>
        </w:tc>
        <w:tc>
          <w:tcPr>
            <w:tcW w:type="dxa" w:w="1728"/>
          </w:tcPr>
          <w:p>
            <w:r>
              <w:t>1,903.1</w:t>
            </w:r>
          </w:p>
        </w:tc>
        <w:tc>
          <w:tcPr>
            <w:tcW w:type="dxa" w:w="1728"/>
          </w:tcPr>
          <w:p>
            <w:r>
              <w:t>1,385,565</w:t>
            </w:r>
          </w:p>
        </w:tc>
      </w:tr>
      <w:tr>
        <w:tc>
          <w:tcPr>
            <w:tcW w:type="dxa" w:w="1728"/>
          </w:tcPr>
          <w:p/>
        </w:tc>
        <w:tc>
          <w:tcPr>
            <w:tcW w:type="dxa" w:w="1728"/>
          </w:tcPr>
          <w:p/>
        </w:tc>
        <w:tc>
          <w:tcPr>
            <w:tcW w:type="dxa" w:w="1728"/>
          </w:tcPr>
          <w:p>
            <w:r>
              <w:t>Lowest value</w:t>
            </w:r>
          </w:p>
        </w:tc>
        <w:tc>
          <w:tcPr>
            <w:tcW w:type="dxa" w:w="1728"/>
          </w:tcPr>
          <w:p/>
        </w:tc>
        <w:tc>
          <w:tcPr>
            <w:tcW w:type="dxa" w:w="1728"/>
          </w:tcPr>
          <w:p>
            <w:r>
              <w:t>207,793</w:t>
            </w:r>
          </w:p>
        </w:tc>
      </w:tr>
      <w:tr>
        <w:tc>
          <w:tcPr>
            <w:tcW w:type="dxa" w:w="1728"/>
          </w:tcPr>
          <w:p/>
        </w:tc>
        <w:tc>
          <w:tcPr>
            <w:tcW w:type="dxa" w:w="1728"/>
          </w:tcPr>
          <w:p/>
        </w:tc>
        <w:tc>
          <w:tcPr>
            <w:tcW w:type="dxa" w:w="1728"/>
          </w:tcPr>
          <w:p>
            <w:r>
              <w:t>Lower quartile (25%)</w:t>
            </w:r>
          </w:p>
        </w:tc>
        <w:tc>
          <w:tcPr>
            <w:tcW w:type="dxa" w:w="1728"/>
          </w:tcPr>
          <w:p/>
        </w:tc>
        <w:tc>
          <w:tcPr>
            <w:tcW w:type="dxa" w:w="1728"/>
          </w:tcPr>
          <w:p>
            <w:r>
              <w:t>1,103,333</w:t>
            </w:r>
          </w:p>
        </w:tc>
      </w:tr>
      <w:tr>
        <w:tc>
          <w:tcPr>
            <w:tcW w:type="dxa" w:w="1728"/>
          </w:tcPr>
          <w:p/>
        </w:tc>
        <w:tc>
          <w:tcPr>
            <w:tcW w:type="dxa" w:w="1728"/>
          </w:tcPr>
          <w:p/>
        </w:tc>
        <w:tc>
          <w:tcPr>
            <w:tcW w:type="dxa" w:w="1728"/>
          </w:tcPr>
          <w:p>
            <w:r>
              <w:t>Median</w:t>
            </w:r>
          </w:p>
        </w:tc>
        <w:tc>
          <w:tcPr>
            <w:tcW w:type="dxa" w:w="1728"/>
          </w:tcPr>
          <w:p/>
        </w:tc>
        <w:tc>
          <w:tcPr>
            <w:tcW w:type="dxa" w:w="1728"/>
          </w:tcPr>
          <w:p>
            <w:r>
              <w:t>1,525,809</w:t>
            </w:r>
          </w:p>
        </w:tc>
      </w:tr>
      <w:tr>
        <w:tc>
          <w:tcPr>
            <w:tcW w:type="dxa" w:w="1728"/>
          </w:tcPr>
          <w:p/>
        </w:tc>
        <w:tc>
          <w:tcPr>
            <w:tcW w:type="dxa" w:w="1728"/>
          </w:tcPr>
          <w:p/>
        </w:tc>
        <w:tc>
          <w:tcPr>
            <w:tcW w:type="dxa" w:w="1728"/>
          </w:tcPr>
          <w:p>
            <w:r>
              <w:t>Upper quartile (75%)</w:t>
            </w:r>
          </w:p>
        </w:tc>
        <w:tc>
          <w:tcPr>
            <w:tcW w:type="dxa" w:w="1728"/>
          </w:tcPr>
          <w:p/>
        </w:tc>
        <w:tc>
          <w:tcPr>
            <w:tcW w:type="dxa" w:w="1728"/>
          </w:tcPr>
          <w:p>
            <w:r>
              <w:t>2,775,669</w:t>
            </w:r>
          </w:p>
        </w:tc>
      </w:tr>
      <w:tr>
        <w:tc>
          <w:tcPr>
            <w:tcW w:type="dxa" w:w="1728"/>
          </w:tcPr>
          <w:p/>
        </w:tc>
        <w:tc>
          <w:tcPr>
            <w:tcW w:type="dxa" w:w="1728"/>
          </w:tcPr>
          <w:p/>
        </w:tc>
        <w:tc>
          <w:tcPr>
            <w:tcW w:type="dxa" w:w="1728"/>
          </w:tcPr>
          <w:p>
            <w:r>
              <w:t>Highest value</w:t>
            </w:r>
          </w:p>
        </w:tc>
        <w:tc>
          <w:tcPr>
            <w:tcW w:type="dxa" w:w="1728"/>
          </w:tcPr>
          <w:p/>
        </w:tc>
        <w:tc>
          <w:tcPr>
            <w:tcW w:type="dxa" w:w="1728"/>
          </w:tcPr>
          <w:p>
            <w:r>
              <w:t>11,887,150</w:t>
            </w:r>
          </w:p>
        </w:tc>
      </w:tr>
    </w:tbl>
    <w:p>
      <w:r>
        <w:t>The final set of 27 comparable companies gives an interquartile range of AED 1,103,333 (25th percentile) to AED 2,775,669 (75th percentile), with a median of AED 1,525,809, under the External CUP method using the quartile function QUARTILE.INC.</w:t>
      </w:r>
    </w:p>
    <w:p>
      <w:pPr>
        <w:pStyle w:val="Heading1"/>
      </w:pPr>
      <w:r>
        <w:t>4. RESULTS AND CONCLUSION</w:t>
      </w:r>
    </w:p>
    <w:p>
      <w:r>
        <w:t>The managerial remuneration paid to Mr. PQR (AED 1,200,000) and to Mr. XYZ (AED 1,500,000) lies within the interquartile range of AED 1,103,333 to AED 2,775,669. Conclusion: the managerial remuneration of AED 2,700,000 is consistent with the arm's length principle and no transfer pricing adjustment is required.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Recipient</w:t>
            </w:r>
          </w:p>
        </w:tc>
        <w:tc>
          <w:tcPr>
            <w:tcW w:type="dxa" w:w="1728"/>
          </w:tcPr>
          <w:p>
            <w:r>
              <w:t>Lower quartile (AED)</w:t>
            </w:r>
          </w:p>
        </w:tc>
        <w:tc>
          <w:tcPr>
            <w:tcW w:type="dxa" w:w="1728"/>
          </w:tcPr>
          <w:p>
            <w:r>
              <w:t>Median (AED)</w:t>
            </w:r>
          </w:p>
        </w:tc>
        <w:tc>
          <w:tcPr>
            <w:tcW w:type="dxa" w:w="1728"/>
          </w:tcPr>
          <w:p>
            <w:r>
              <w:t>Upper quartile (AED)</w:t>
            </w:r>
          </w:p>
        </w:tc>
        <w:tc>
          <w:tcPr>
            <w:tcW w:type="dxa" w:w="1728"/>
          </w:tcPr>
          <w:p>
            <w:r>
              <w:t>Actual remuneration (AED)</w:t>
            </w:r>
          </w:p>
        </w:tc>
      </w:tr>
      <w:tr>
        <w:tc>
          <w:tcPr>
            <w:tcW w:type="dxa" w:w="1728"/>
          </w:tcPr>
          <w:p>
            <w:r>
              <w:t>Mr. PQR</w:t>
            </w:r>
          </w:p>
        </w:tc>
        <w:tc>
          <w:tcPr>
            <w:tcW w:type="dxa" w:w="1728"/>
          </w:tcPr>
          <w:p>
            <w:r>
              <w:t>1,103,333</w:t>
            </w:r>
          </w:p>
        </w:tc>
        <w:tc>
          <w:tcPr>
            <w:tcW w:type="dxa" w:w="1728"/>
          </w:tcPr>
          <w:p>
            <w:r>
              <w:t>1,525,809</w:t>
            </w:r>
          </w:p>
        </w:tc>
        <w:tc>
          <w:tcPr>
            <w:tcW w:type="dxa" w:w="1728"/>
          </w:tcPr>
          <w:p>
            <w:r>
              <w:t>2,775,669</w:t>
            </w:r>
          </w:p>
        </w:tc>
        <w:tc>
          <w:tcPr>
            <w:tcW w:type="dxa" w:w="1728"/>
          </w:tcPr>
          <w:p>
            <w:r>
              <w:t>1,200,000</w:t>
            </w:r>
          </w:p>
        </w:tc>
      </w:tr>
      <w:tr>
        <w:tc>
          <w:tcPr>
            <w:tcW w:type="dxa" w:w="1728"/>
          </w:tcPr>
          <w:p>
            <w:r>
              <w:t>Mr. XYZ</w:t>
            </w:r>
          </w:p>
        </w:tc>
        <w:tc>
          <w:tcPr>
            <w:tcW w:type="dxa" w:w="1728"/>
          </w:tcPr>
          <w:p>
            <w:r>
              <w:t>1,103,333</w:t>
            </w:r>
          </w:p>
        </w:tc>
        <w:tc>
          <w:tcPr>
            <w:tcW w:type="dxa" w:w="1728"/>
          </w:tcPr>
          <w:p>
            <w:r>
              <w:t>1,525,809</w:t>
            </w:r>
          </w:p>
        </w:tc>
        <w:tc>
          <w:tcPr>
            <w:tcW w:type="dxa" w:w="1728"/>
          </w:tcPr>
          <w:p>
            <w:r>
              <w:t>2,775,669</w:t>
            </w:r>
          </w:p>
        </w:tc>
        <w:tc>
          <w:tcPr>
            <w:tcW w:type="dxa" w:w="1728"/>
          </w:tcPr>
          <w:p>
            <w:r>
              <w:t>1,500,000</w:t>
            </w:r>
          </w:p>
        </w:tc>
      </w:tr>
    </w:tbl>
    <w:p>
      <w:r>
        <w:t>The Transfer Pricing Disclosure Form is filed with the Corporate Tax return as related party transactions exceed the AED 40,000,000 threshold.</w:t>
      </w:r>
    </w:p>
    <w:p>
      <w:pPr>
        <w:pStyle w:val="Heading1"/>
      </w:pPr>
      <w:r>
        <w:t>5. APPENDIX</w:t>
      </w:r>
    </w:p>
    <w:p>
      <w:r>
        <w:t>Annexure 1: Search strategy screenshot - UAE</w:t>
      </w:r>
    </w:p>
    <w:p>
      <w:r>
        <w:t>Annexure 2: Search strategy write-up - UAE</w:t>
      </w:r>
    </w:p>
    <w:p>
      <w:r>
        <w:t>Annexure 3: Search strategy screenshot - Middle East</w:t>
      </w:r>
    </w:p>
    <w:p>
      <w:r>
        <w:t>Annexure 4: Search strategy write-up - Middle East</w:t>
      </w:r>
    </w:p>
    <w:p>
      <w:r>
        <w:t>Annexure 5: Search strategy screenshot - Europe OR Middle East</w:t>
      </w:r>
    </w:p>
    <w:p>
      <w:r>
        <w:t>Annexure 6: Search strategy write-up - Europe OR Middle East</w:t>
      </w:r>
    </w:p>
    <w:p>
      <w:r>
        <w:t>Annexure 7: Search results</w:t>
      </w:r>
    </w:p>
    <w:p>
      <w:r>
        <w:t>Annexure 8: Accept-reject matrix</w:t>
      </w:r>
    </w:p>
    <w:p>
      <w:r>
        <w:br w:type="page"/>
      </w:r>
    </w:p>
    <w:p>
      <w:r>
        <w:t>Annexure 1</w:t>
      </w:r>
    </w:p>
    <w:p>
      <w:r>
        <w:t>Annexure content (synthetic sample).</w:t>
      </w:r>
    </w:p>
    <w:p>
      <w:r>
        <w:br w:type="page"/>
      </w:r>
    </w:p>
    <w:p>
      <w:r>
        <w:t>Annexure 2</w:t>
      </w:r>
    </w:p>
    <w:p>
      <w:r>
        <w:t>Annexure content (synthetic sample).</w:t>
      </w:r>
    </w:p>
    <w:p>
      <w:r>
        <w:br w:type="page"/>
      </w:r>
    </w:p>
    <w:p>
      <w:r>
        <w:t>Annexure 3</w:t>
      </w:r>
    </w:p>
    <w:p>
      <w:r>
        <w:t>Annexure content (synthetic sample).</w:t>
      </w:r>
    </w:p>
    <w:p>
      <w:r>
        <w:br w:type="page"/>
      </w:r>
    </w:p>
    <w:p>
      <w:r>
        <w:t>Annexure 4</w:t>
      </w:r>
    </w:p>
    <w:p>
      <w:r>
        <w:t>Annexure content (synthetic sample).</w:t>
      </w:r>
    </w:p>
    <w:p>
      <w:r>
        <w:br w:type="page"/>
      </w:r>
    </w:p>
    <w:p>
      <w:r>
        <w:t>Annexure 5</w:t>
      </w:r>
    </w:p>
    <w:p>
      <w:r>
        <w:t>Annexure content (synthetic sample).</w:t>
      </w:r>
    </w:p>
    <w:p>
      <w:r>
        <w:br w:type="page"/>
      </w:r>
    </w:p>
    <w:p>
      <w:r>
        <w:t>Annexure 6</w:t>
      </w:r>
    </w:p>
    <w:p>
      <w:r>
        <w:t>Annexure content (synthetic sample).</w:t>
      </w:r>
    </w:p>
    <w:p>
      <w:r>
        <w:br w:type="page"/>
      </w:r>
    </w:p>
    <w:p>
      <w:r>
        <w:t>Annexure 7</w:t>
      </w:r>
    </w:p>
    <w:p>
      <w:r>
        <w:t>Annexure content (synthetic sample).</w:t>
      </w:r>
    </w:p>
    <w:p>
      <w:r>
        <w:br w:type="page"/>
      </w:r>
    </w:p>
    <w:p>
      <w:r>
        <w:t>Annexure 8</w:t>
      </w:r>
    </w:p>
    <w:p>
      <w:r>
        <w:t>Annexure content (synthetic sample).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pgBorders>
        <w:top w:val="single" w:sz="12"/>
        <w:left w:val="single" w:sz="12"/>
        <w:bottom w:val="single" w:sz="12"/>
        <w:right w:val="single" w:sz="12"/>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ABC COMPANY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Transfer Pricing Benchmark Analysis</w:t>
      <w:tab/>
    </w:r>
    <w:r>
      <w:fldChar w:fldCharType="begin"/>
    </w:r>
    <w:r>
      <w:instrText>PAGE</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 COMPANY synthetic TP report</dc:title>
  <dc:subject/>
  <dc:creator>Capstone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