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GOLDEN CREST TRADING DMCC</w:t>
      </w:r>
    </w:p>
    <w:p>
      <w:r>
        <w:rPr>
          <w:rFonts w:ascii="Times New Roman" w:hAnsi="Times New Roman"/>
          <w:b/>
          <w:sz w:val="24"/>
        </w:rPr>
        <w:t>Financial statements for the year ended 31 December 2025</w:t>
      </w:r>
    </w:p>
    <w:p>
      <w:r>
        <w:rPr>
          <w:rFonts w:ascii="Times New Roman" w:hAnsi="Times New Roman"/>
          <w:b/>
          <w:sz w:val="24"/>
        </w:rPr>
        <w:t>Directors' report</w:t>
      </w:r>
    </w:p>
    <w:p>
      <w:pPr>
        <w:jc w:val="both"/>
      </w:pPr>
      <w:r>
        <w:rPr>
          <w:rFonts w:ascii="Times New Roman" w:hAnsi="Times New Roman"/>
          <w:b w:val="0"/>
          <w:sz w:val="20"/>
        </w:rPr>
        <w:t>The Directors present their report together with the audited financial statements of GOLDEN CREST TRADING DMCC for the year ended 31 December 2025. The principal activity of the Company is general trading. The Company is owned by three shareholders and is managed by its Directors.</w:t>
      </w:r>
    </w:p>
    <w:p>
      <w:r>
        <w:rPr>
          <w:rFonts w:ascii="Times New Roman" w:hAnsi="Times New Roman"/>
          <w:b w:val="0"/>
          <w:sz w:val="20"/>
        </w:rPr>
        <w:t>Signed on behalf of the Directors by Mohammed Al Hashmi, Fatima Khan and Rajan Pillai.</w:t>
      </w:r>
    </w:p>
    <w:p>
      <w:r>
        <w:rPr>
          <w:rFonts w:ascii="Times New Roman" w:hAnsi="Times New Roman"/>
          <w:b/>
          <w:sz w:val="22"/>
        </w:rPr>
        <w:t>Independent Auditor's Report</w:t>
      </w:r>
    </w:p>
    <w:p>
      <w:r>
        <w:rPr>
          <w:rFonts w:ascii="Times New Roman" w:hAnsi="Times New Roman"/>
          <w:b w:val="0"/>
          <w:sz w:val="22"/>
        </w:rPr>
        <w:t>To the Shareholders of GOLDEN CREST TRADING DMCC</w:t>
      </w:r>
    </w:p>
    <w:p>
      <w:pPr>
        <w:jc w:val="both"/>
      </w:pPr>
      <w:r>
        <w:rPr>
          <w:rFonts w:ascii="Times New Roman" w:hAnsi="Times New Roman"/>
          <w:b w:val="0"/>
          <w:sz w:val="22"/>
        </w:rPr>
        <w:t>Opinion. We have audited the financial statements of the Company, which comprise the statement of financial position as at 31 December 2025, and the statements of profit or loss, changes in equity and cash flows for the year then ended.</w:t>
      </w:r>
    </w:p>
    <w:p>
      <w:pPr>
        <w:jc w:val="both"/>
      </w:pPr>
      <w:r>
        <w:rPr>
          <w:rFonts w:ascii="Times New Roman" w:hAnsi="Times New Roman"/>
          <w:b w:val="0"/>
          <w:sz w:val="22"/>
        </w:rPr>
        <w:t>Report on other legal and regulatory requirements. As required by the applicable laws and regulations of DMCC, we report that the Company has maintained proper books of account.</w:t>
      </w:r>
    </w:p>
    <w:p>
      <w:r>
        <w:rPr>
          <w:rFonts w:ascii="Times New Roman" w:hAnsi="Times New Roman"/>
          <w:b/>
          <w:sz w:val="22"/>
        </w:rPr>
        <w:t>For the audit firm</w:t>
      </w:r>
    </w:p>
    <w:p>
      <w:r>
        <w:rPr>
          <w:rFonts w:ascii="Times New Roman" w:hAnsi="Times New Roman"/>
          <w:b w:val="0"/>
          <w:sz w:val="22"/>
        </w:rPr>
        <w:t>Registration No: 1234</w:t>
      </w:r>
    </w:p>
    <w:p>
      <w:r>
        <w:rPr>
          <w:rFonts w:ascii="Times New Roman" w:hAnsi="Times New Roman"/>
          <w:b w:val="0"/>
          <w:sz w:val="22"/>
        </w:rPr>
        <w:t>Ref: RG/AR/2026/045</w:t>
      </w:r>
    </w:p>
    <w:p>
      <w:r>
        <w:rPr>
          <w:rFonts w:ascii="Times New Roman" w:hAnsi="Times New Roman"/>
          <w:b w:val="0"/>
          <w:sz w:val="22"/>
        </w:rPr>
        <w:t>Dubai, 15 March 2026</w:t>
      </w:r>
    </w:p>
    <w:p>
      <w:r>
        <w:rPr>
          <w:rFonts w:ascii="Times New Roman" w:hAnsi="Times New Roman"/>
          <w:b/>
          <w:sz w:val="24"/>
        </w:rPr>
        <w:t>Statement of financial position</w:t>
      </w:r>
    </w:p>
    <w:p>
      <w:r>
        <w:rPr>
          <w:rFonts w:ascii="Times New Roman" w:hAnsi="Times New Roman"/>
          <w:b w:val="0"/>
          <w:sz w:val="22"/>
        </w:rPr>
        <w:t>as at 31 December 2025</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r>
              <w:rPr>
                <w:rFonts w:ascii="Times New Roman" w:hAnsi="Times New Roman"/>
                <w:sz w:val="20"/>
              </w:rPr>
            </w:r>
          </w:p>
        </w:tc>
        <w:tc>
          <w:tcPr>
            <w:tcW w:type="dxa" w:w="2232"/>
          </w:tcPr>
          <w:p>
            <w:r/>
            <w:r>
              <w:rPr>
                <w:rFonts w:ascii="Times New Roman" w:hAnsi="Times New Roman"/>
                <w:sz w:val="20"/>
              </w:rPr>
              <w:t>Note</w:t>
            </w:r>
          </w:p>
        </w:tc>
        <w:tc>
          <w:tcPr>
            <w:tcW w:type="dxa" w:w="2232"/>
          </w:tcPr>
          <w:p>
            <w:r/>
            <w:r>
              <w:rPr>
                <w:rFonts w:ascii="Times New Roman" w:hAnsi="Times New Roman"/>
                <w:b/>
                <w:sz w:val="20"/>
              </w:rPr>
              <w:t>2025</w:t>
            </w:r>
          </w:p>
        </w:tc>
        <w:tc>
          <w:tcPr>
            <w:tcW w:type="dxa" w:w="2232"/>
          </w:tcPr>
          <w:p>
            <w:r/>
            <w:r>
              <w:rPr>
                <w:rFonts w:ascii="Times New Roman" w:hAnsi="Times New Roman"/>
                <w:sz w:val="20"/>
              </w:rPr>
              <w:t>2024</w:t>
            </w:r>
          </w:p>
        </w:tc>
      </w:tr>
      <w:tr>
        <w:tc>
          <w:tcPr>
            <w:tcW w:type="dxa" w:w="2232"/>
          </w:tcPr>
          <w:p>
            <w:r/>
            <w:r>
              <w:rPr>
                <w:rFonts w:ascii="Times New Roman" w:hAnsi="Times New Roman"/>
                <w:sz w:val="20"/>
              </w:rPr>
              <w:t>Cash and bank balances</w:t>
            </w:r>
          </w:p>
        </w:tc>
        <w:tc>
          <w:tcPr>
            <w:tcW w:type="dxa" w:w="2232"/>
          </w:tcPr>
          <w:p>
            <w:r/>
            <w:r>
              <w:rPr>
                <w:rFonts w:ascii="Times New Roman" w:hAnsi="Times New Roman"/>
                <w:sz w:val="20"/>
              </w:rPr>
              <w:t>5</w:t>
            </w:r>
          </w:p>
        </w:tc>
        <w:tc>
          <w:tcPr>
            <w:tcW w:type="dxa" w:w="2232"/>
          </w:tcPr>
          <w:p>
            <w:r/>
            <w:r>
              <w:rPr>
                <w:rFonts w:ascii="Times New Roman" w:hAnsi="Times New Roman"/>
                <w:sz w:val="20"/>
              </w:rPr>
              <w:t>80,000</w:t>
            </w:r>
          </w:p>
        </w:tc>
        <w:tc>
          <w:tcPr>
            <w:tcW w:type="dxa" w:w="2232"/>
          </w:tcPr>
          <w:p>
            <w:r/>
            <w:r>
              <w:rPr>
                <w:rFonts w:ascii="Times New Roman" w:hAnsi="Times New Roman"/>
                <w:sz w:val="20"/>
              </w:rPr>
              <w:t>60,000</w:t>
            </w:r>
          </w:p>
        </w:tc>
      </w:tr>
      <w:tr>
        <w:tc>
          <w:tcPr>
            <w:tcW w:type="dxa" w:w="2232"/>
          </w:tcPr>
          <w:p>
            <w:r/>
            <w:r>
              <w:rPr>
                <w:rFonts w:ascii="Times New Roman" w:hAnsi="Times New Roman"/>
                <w:sz w:val="20"/>
              </w:rPr>
              <w:t>Trade receivables</w:t>
            </w:r>
          </w:p>
        </w:tc>
        <w:tc>
          <w:tcPr>
            <w:tcW w:type="dxa" w:w="2232"/>
          </w:tcPr>
          <w:p>
            <w:r/>
            <w:r>
              <w:rPr>
                <w:rFonts w:ascii="Times New Roman" w:hAnsi="Times New Roman"/>
                <w:sz w:val="20"/>
              </w:rPr>
              <w:t>6</w:t>
            </w:r>
          </w:p>
        </w:tc>
        <w:tc>
          <w:tcPr>
            <w:tcW w:type="dxa" w:w="2232"/>
          </w:tcPr>
          <w:p>
            <w:r/>
            <w:r>
              <w:rPr>
                <w:rFonts w:ascii="Times New Roman" w:hAnsi="Times New Roman"/>
                <w:sz w:val="20"/>
              </w:rPr>
              <w:t>420,000</w:t>
            </w:r>
          </w:p>
        </w:tc>
        <w:tc>
          <w:tcPr>
            <w:tcW w:type="dxa" w:w="2232"/>
          </w:tcPr>
          <w:p>
            <w:r/>
            <w:r>
              <w:rPr>
                <w:rFonts w:ascii="Times New Roman" w:hAnsi="Times New Roman"/>
                <w:sz w:val="20"/>
              </w:rPr>
              <w:t>380,000</w:t>
            </w:r>
          </w:p>
        </w:tc>
      </w:tr>
      <w:tr>
        <w:tc>
          <w:tcPr>
            <w:tcW w:type="dxa" w:w="2232"/>
          </w:tcPr>
          <w:p>
            <w:r/>
            <w:r>
              <w:rPr>
                <w:rFonts w:ascii="Times New Roman" w:hAnsi="Times New Roman"/>
                <w:sz w:val="20"/>
              </w:rPr>
              <w:t>Inventories</w:t>
            </w:r>
          </w:p>
        </w:tc>
        <w:tc>
          <w:tcPr>
            <w:tcW w:type="dxa" w:w="2232"/>
          </w:tcPr>
          <w:p>
            <w:r/>
            <w:r>
              <w:rPr>
                <w:rFonts w:ascii="Times New Roman" w:hAnsi="Times New Roman"/>
                <w:sz w:val="20"/>
              </w:rPr>
              <w:t>7</w:t>
            </w:r>
          </w:p>
        </w:tc>
        <w:tc>
          <w:tcPr>
            <w:tcW w:type="dxa" w:w="2232"/>
          </w:tcPr>
          <w:p>
            <w:r/>
            <w:r>
              <w:rPr>
                <w:rFonts w:ascii="Times New Roman" w:hAnsi="Times New Roman"/>
                <w:sz w:val="20"/>
              </w:rPr>
              <w:t>200,000</w:t>
            </w:r>
          </w:p>
        </w:tc>
        <w:tc>
          <w:tcPr>
            <w:tcW w:type="dxa" w:w="2232"/>
          </w:tcPr>
          <w:p>
            <w:r/>
            <w:r>
              <w:rPr>
                <w:rFonts w:ascii="Times New Roman" w:hAnsi="Times New Roman"/>
                <w:sz w:val="20"/>
              </w:rPr>
              <w:t>190,000</w:t>
            </w:r>
          </w:p>
        </w:tc>
      </w:tr>
      <w:tr>
        <w:tc>
          <w:tcPr>
            <w:tcW w:type="dxa" w:w="2232"/>
          </w:tcPr>
          <w:p>
            <w:r/>
            <w:r>
              <w:rPr>
                <w:rFonts w:ascii="Times New Roman" w:hAnsi="Times New Roman"/>
                <w:sz w:val="20"/>
              </w:rPr>
              <w:t>Property, plant and equipment</w:t>
            </w:r>
          </w:p>
        </w:tc>
        <w:tc>
          <w:tcPr>
            <w:tcW w:type="dxa" w:w="2232"/>
          </w:tcPr>
          <w:p>
            <w:r/>
            <w:r>
              <w:rPr>
                <w:rFonts w:ascii="Times New Roman" w:hAnsi="Times New Roman"/>
                <w:sz w:val="20"/>
              </w:rPr>
              <w:t>8</w:t>
            </w:r>
          </w:p>
        </w:tc>
        <w:tc>
          <w:tcPr>
            <w:tcW w:type="dxa" w:w="2232"/>
          </w:tcPr>
          <w:p>
            <w:r/>
            <w:r>
              <w:rPr>
                <w:rFonts w:ascii="Times New Roman" w:hAnsi="Times New Roman"/>
                <w:sz w:val="20"/>
              </w:rPr>
              <w:t>300,000</w:t>
            </w:r>
          </w:p>
        </w:tc>
        <w:tc>
          <w:tcPr>
            <w:tcW w:type="dxa" w:w="2232"/>
          </w:tcPr>
          <w:p>
            <w:r/>
            <w:r>
              <w:rPr>
                <w:rFonts w:ascii="Times New Roman" w:hAnsi="Times New Roman"/>
                <w:sz w:val="20"/>
              </w:rPr>
              <w:t>270,000</w:t>
            </w:r>
          </w:p>
        </w:tc>
      </w:tr>
      <w:tr>
        <w:tc>
          <w:tcPr>
            <w:tcW w:type="dxa" w:w="2232"/>
          </w:tcPr>
          <w:p>
            <w:r/>
            <w:r>
              <w:rPr>
                <w:rFonts w:ascii="Times New Roman" w:hAnsi="Times New Roman"/>
                <w:sz w:val="20"/>
              </w:rPr>
              <w:t>Total assets</w:t>
            </w:r>
          </w:p>
        </w:tc>
        <w:tc>
          <w:tcPr>
            <w:tcW w:type="dxa" w:w="2232"/>
          </w:tcPr>
          <w:p>
            <w:r/>
            <w:r>
              <w:rPr>
                <w:rFonts w:ascii="Times New Roman" w:hAnsi="Times New Roman"/>
                <w:sz w:val="20"/>
              </w:rPr>
            </w:r>
          </w:p>
        </w:tc>
        <w:tc>
          <w:tcPr>
            <w:tcW w:type="dxa" w:w="2232"/>
          </w:tcPr>
          <w:p>
            <w:r/>
            <w:r>
              <w:rPr>
                <w:rFonts w:ascii="Times New Roman" w:hAnsi="Times New Roman"/>
                <w:sz w:val="20"/>
              </w:rPr>
              <w:t>1,000,000</w:t>
            </w:r>
          </w:p>
        </w:tc>
        <w:tc>
          <w:tcPr>
            <w:tcW w:type="dxa" w:w="2232"/>
          </w:tcPr>
          <w:p>
            <w:r/>
            <w:r>
              <w:rPr>
                <w:rFonts w:ascii="Times New Roman" w:hAnsi="Times New Roman"/>
                <w:sz w:val="20"/>
              </w:rPr>
              <w:t>900,000</w:t>
            </w:r>
          </w:p>
        </w:tc>
      </w:tr>
      <w:tr>
        <w:tc>
          <w:tcPr>
            <w:tcW w:type="dxa" w:w="2232"/>
          </w:tcPr>
          <w:p>
            <w:r/>
            <w:r>
              <w:rPr>
                <w:rFonts w:ascii="Times New Roman" w:hAnsi="Times New Roman"/>
                <w:sz w:val="20"/>
              </w:rPr>
              <w:t>Share capital</w:t>
            </w:r>
          </w:p>
        </w:tc>
        <w:tc>
          <w:tcPr>
            <w:tcW w:type="dxa" w:w="2232"/>
          </w:tcPr>
          <w:p>
            <w:r/>
            <w:r>
              <w:rPr>
                <w:rFonts w:ascii="Times New Roman" w:hAnsi="Times New Roman"/>
                <w:sz w:val="20"/>
              </w:rPr>
              <w:t>9</w:t>
            </w:r>
          </w:p>
        </w:tc>
        <w:tc>
          <w:tcPr>
            <w:tcW w:type="dxa" w:w="2232"/>
          </w:tcPr>
          <w:p>
            <w:r/>
            <w:r>
              <w:rPr>
                <w:rFonts w:ascii="Times New Roman" w:hAnsi="Times New Roman"/>
                <w:sz w:val="20"/>
              </w:rPr>
              <w:t>300,000</w:t>
            </w:r>
          </w:p>
        </w:tc>
        <w:tc>
          <w:tcPr>
            <w:tcW w:type="dxa" w:w="2232"/>
          </w:tcPr>
          <w:p>
            <w:r/>
            <w:r>
              <w:rPr>
                <w:rFonts w:ascii="Times New Roman" w:hAnsi="Times New Roman"/>
                <w:sz w:val="20"/>
              </w:rPr>
              <w:t>300,000</w:t>
            </w:r>
          </w:p>
        </w:tc>
      </w:tr>
      <w:tr>
        <w:tc>
          <w:tcPr>
            <w:tcW w:type="dxa" w:w="2232"/>
          </w:tcPr>
          <w:p>
            <w:r/>
            <w:r>
              <w:rPr>
                <w:rFonts w:ascii="Times New Roman" w:hAnsi="Times New Roman"/>
                <w:sz w:val="20"/>
              </w:rPr>
              <w:t>Retained earnings</w:t>
            </w:r>
          </w:p>
        </w:tc>
        <w:tc>
          <w:tcPr>
            <w:tcW w:type="dxa" w:w="2232"/>
          </w:tcPr>
          <w:p>
            <w:r/>
            <w:r>
              <w:rPr>
                <w:rFonts w:ascii="Times New Roman" w:hAnsi="Times New Roman"/>
                <w:sz w:val="20"/>
              </w:rPr>
            </w:r>
          </w:p>
        </w:tc>
        <w:tc>
          <w:tcPr>
            <w:tcW w:type="dxa" w:w="2232"/>
          </w:tcPr>
          <w:p>
            <w:r/>
            <w:r>
              <w:rPr>
                <w:rFonts w:ascii="Times New Roman" w:hAnsi="Times New Roman"/>
                <w:sz w:val="20"/>
              </w:rPr>
              <w:t>250,000</w:t>
            </w:r>
          </w:p>
        </w:tc>
        <w:tc>
          <w:tcPr>
            <w:tcW w:type="dxa" w:w="2232"/>
          </w:tcPr>
          <w:p>
            <w:r/>
            <w:r>
              <w:rPr>
                <w:rFonts w:ascii="Times New Roman" w:hAnsi="Times New Roman"/>
                <w:sz w:val="20"/>
              </w:rPr>
              <w:t>190,000</w:t>
            </w:r>
          </w:p>
        </w:tc>
      </w:tr>
      <w:tr>
        <w:tc>
          <w:tcPr>
            <w:tcW w:type="dxa" w:w="2232"/>
          </w:tcPr>
          <w:p>
            <w:r/>
            <w:r>
              <w:rPr>
                <w:rFonts w:ascii="Times New Roman" w:hAnsi="Times New Roman"/>
                <w:sz w:val="20"/>
              </w:rPr>
              <w:t>Total equity</w:t>
            </w:r>
          </w:p>
        </w:tc>
        <w:tc>
          <w:tcPr>
            <w:tcW w:type="dxa" w:w="2232"/>
          </w:tcPr>
          <w:p>
            <w:r/>
            <w:r>
              <w:rPr>
                <w:rFonts w:ascii="Times New Roman" w:hAnsi="Times New Roman"/>
                <w:sz w:val="20"/>
              </w:rPr>
            </w:r>
          </w:p>
        </w:tc>
        <w:tc>
          <w:tcPr>
            <w:tcW w:type="dxa" w:w="2232"/>
          </w:tcPr>
          <w:p>
            <w:r/>
            <w:r>
              <w:rPr>
                <w:rFonts w:ascii="Times New Roman" w:hAnsi="Times New Roman"/>
                <w:sz w:val="20"/>
              </w:rPr>
              <w:t>550,000</w:t>
            </w:r>
          </w:p>
        </w:tc>
        <w:tc>
          <w:tcPr>
            <w:tcW w:type="dxa" w:w="2232"/>
          </w:tcPr>
          <w:p>
            <w:r/>
            <w:r>
              <w:rPr>
                <w:rFonts w:ascii="Times New Roman" w:hAnsi="Times New Roman"/>
                <w:sz w:val="20"/>
              </w:rPr>
              <w:t>490,000</w:t>
            </w:r>
          </w:p>
        </w:tc>
      </w:tr>
      <w:tr>
        <w:tc>
          <w:tcPr>
            <w:tcW w:type="dxa" w:w="2232"/>
          </w:tcPr>
          <w:p>
            <w:r/>
            <w:r>
              <w:rPr>
                <w:rFonts w:ascii="Times New Roman" w:hAnsi="Times New Roman"/>
                <w:sz w:val="20"/>
              </w:rPr>
              <w:t>Trade and other payables</w:t>
            </w:r>
          </w:p>
        </w:tc>
        <w:tc>
          <w:tcPr>
            <w:tcW w:type="dxa" w:w="2232"/>
          </w:tcPr>
          <w:p>
            <w:r/>
            <w:r>
              <w:rPr>
                <w:rFonts w:ascii="Times New Roman" w:hAnsi="Times New Roman"/>
                <w:sz w:val="20"/>
              </w:rPr>
              <w:t>10</w:t>
            </w:r>
          </w:p>
        </w:tc>
        <w:tc>
          <w:tcPr>
            <w:tcW w:type="dxa" w:w="2232"/>
          </w:tcPr>
          <w:p>
            <w:r/>
            <w:r>
              <w:rPr>
                <w:rFonts w:ascii="Times New Roman" w:hAnsi="Times New Roman"/>
                <w:sz w:val="20"/>
              </w:rPr>
              <w:t>350,000</w:t>
            </w:r>
          </w:p>
        </w:tc>
        <w:tc>
          <w:tcPr>
            <w:tcW w:type="dxa" w:w="2232"/>
          </w:tcPr>
          <w:p>
            <w:r/>
            <w:r>
              <w:rPr>
                <w:rFonts w:ascii="Times New Roman" w:hAnsi="Times New Roman"/>
                <w:sz w:val="20"/>
              </w:rPr>
              <w:t>330,000</w:t>
            </w:r>
          </w:p>
        </w:tc>
      </w:tr>
      <w:tr>
        <w:tc>
          <w:tcPr>
            <w:tcW w:type="dxa" w:w="2232"/>
          </w:tcPr>
          <w:p>
            <w:r/>
            <w:r>
              <w:rPr>
                <w:rFonts w:ascii="Times New Roman" w:hAnsi="Times New Roman"/>
                <w:sz w:val="20"/>
              </w:rPr>
              <w:t>Provision for staff terminal benefits</w:t>
            </w:r>
          </w:p>
        </w:tc>
        <w:tc>
          <w:tcPr>
            <w:tcW w:type="dxa" w:w="2232"/>
          </w:tcPr>
          <w:p>
            <w:r/>
            <w:r>
              <w:rPr>
                <w:rFonts w:ascii="Times New Roman" w:hAnsi="Times New Roman"/>
                <w:sz w:val="20"/>
              </w:rPr>
              <w:t>11</w:t>
            </w:r>
          </w:p>
        </w:tc>
        <w:tc>
          <w:tcPr>
            <w:tcW w:type="dxa" w:w="2232"/>
          </w:tcPr>
          <w:p>
            <w:r/>
            <w:r>
              <w:rPr>
                <w:rFonts w:ascii="Times New Roman" w:hAnsi="Times New Roman"/>
                <w:sz w:val="20"/>
              </w:rPr>
              <w:t>50,000</w:t>
            </w:r>
          </w:p>
        </w:tc>
        <w:tc>
          <w:tcPr>
            <w:tcW w:type="dxa" w:w="2232"/>
          </w:tcPr>
          <w:p>
            <w:r/>
            <w:r>
              <w:rPr>
                <w:rFonts w:ascii="Times New Roman" w:hAnsi="Times New Roman"/>
                <w:sz w:val="20"/>
              </w:rPr>
              <w:t>40,000</w:t>
            </w:r>
          </w:p>
        </w:tc>
      </w:tr>
      <w:tr>
        <w:tc>
          <w:tcPr>
            <w:tcW w:type="dxa" w:w="2232"/>
          </w:tcPr>
          <w:p>
            <w:r/>
            <w:r>
              <w:rPr>
                <w:rFonts w:ascii="Times New Roman" w:hAnsi="Times New Roman"/>
                <w:sz w:val="20"/>
              </w:rPr>
              <w:t>Duties and taxes payable</w:t>
            </w:r>
          </w:p>
        </w:tc>
        <w:tc>
          <w:tcPr>
            <w:tcW w:type="dxa" w:w="2232"/>
          </w:tcPr>
          <w:p>
            <w:r/>
            <w:r>
              <w:rPr>
                <w:rFonts w:ascii="Times New Roman" w:hAnsi="Times New Roman"/>
                <w:sz w:val="20"/>
              </w:rPr>
              <w:t>12</w:t>
            </w:r>
          </w:p>
        </w:tc>
        <w:tc>
          <w:tcPr>
            <w:tcW w:type="dxa" w:w="2232"/>
          </w:tcPr>
          <w:p>
            <w:r/>
            <w:r>
              <w:rPr>
                <w:rFonts w:ascii="Times New Roman" w:hAnsi="Times New Roman"/>
                <w:sz w:val="20"/>
              </w:rPr>
              <w:t>50,000</w:t>
            </w:r>
          </w:p>
        </w:tc>
        <w:tc>
          <w:tcPr>
            <w:tcW w:type="dxa" w:w="2232"/>
          </w:tcPr>
          <w:p>
            <w:r/>
            <w:r>
              <w:rPr>
                <w:rFonts w:ascii="Times New Roman" w:hAnsi="Times New Roman"/>
                <w:sz w:val="20"/>
              </w:rPr>
              <w:t>40,000</w:t>
            </w:r>
          </w:p>
        </w:tc>
      </w:tr>
      <w:tr>
        <w:tc>
          <w:tcPr>
            <w:tcW w:type="dxa" w:w="2232"/>
          </w:tcPr>
          <w:p>
            <w:r/>
            <w:r>
              <w:rPr>
                <w:rFonts w:ascii="Times New Roman" w:hAnsi="Times New Roman"/>
                <w:sz w:val="20"/>
              </w:rPr>
              <w:t>Total equity and liabilities</w:t>
            </w:r>
          </w:p>
        </w:tc>
        <w:tc>
          <w:tcPr>
            <w:tcW w:type="dxa" w:w="2232"/>
          </w:tcPr>
          <w:p>
            <w:r/>
            <w:r>
              <w:rPr>
                <w:rFonts w:ascii="Times New Roman" w:hAnsi="Times New Roman"/>
                <w:sz w:val="20"/>
              </w:rPr>
            </w:r>
          </w:p>
        </w:tc>
        <w:tc>
          <w:tcPr>
            <w:tcW w:type="dxa" w:w="2232"/>
          </w:tcPr>
          <w:p>
            <w:r/>
            <w:r>
              <w:rPr>
                <w:rFonts w:ascii="Times New Roman" w:hAnsi="Times New Roman"/>
                <w:sz w:val="20"/>
              </w:rPr>
              <w:t>1,000,000</w:t>
            </w:r>
          </w:p>
        </w:tc>
        <w:tc>
          <w:tcPr>
            <w:tcW w:type="dxa" w:w="2232"/>
          </w:tcPr>
          <w:p>
            <w:r/>
            <w:r>
              <w:rPr>
                <w:rFonts w:ascii="Times New Roman" w:hAnsi="Times New Roman"/>
                <w:sz w:val="20"/>
              </w:rPr>
              <w:t>900,000</w:t>
            </w:r>
          </w:p>
        </w:tc>
      </w:tr>
    </w:tbl>
    <w:p>
      <w:r>
        <w:rPr>
          <w:rFonts w:ascii="Times New Roman" w:hAnsi="Times New Roman"/>
          <w:b/>
          <w:sz w:val="24"/>
        </w:rPr>
        <w:t>Statement of profit or loss</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r>
              <w:rPr>
                <w:rFonts w:ascii="Times New Roman" w:hAnsi="Times New Roman"/>
                <w:sz w:val="20"/>
              </w:rPr>
            </w:r>
          </w:p>
        </w:tc>
        <w:tc>
          <w:tcPr>
            <w:tcW w:type="dxa" w:w="2232"/>
          </w:tcPr>
          <w:p>
            <w:r/>
            <w:r>
              <w:rPr>
                <w:rFonts w:ascii="Times New Roman" w:hAnsi="Times New Roman"/>
                <w:sz w:val="20"/>
              </w:rPr>
              <w:t>Note</w:t>
            </w:r>
          </w:p>
        </w:tc>
        <w:tc>
          <w:tcPr>
            <w:tcW w:type="dxa" w:w="2232"/>
          </w:tcPr>
          <w:p>
            <w:r/>
            <w:r>
              <w:rPr>
                <w:rFonts w:ascii="Times New Roman" w:hAnsi="Times New Roman"/>
                <w:b/>
                <w:sz w:val="20"/>
              </w:rPr>
              <w:t>2025</w:t>
            </w:r>
          </w:p>
        </w:tc>
        <w:tc>
          <w:tcPr>
            <w:tcW w:type="dxa" w:w="2232"/>
          </w:tcPr>
          <w:p>
            <w:r/>
            <w:r>
              <w:rPr>
                <w:rFonts w:ascii="Times New Roman" w:hAnsi="Times New Roman"/>
                <w:sz w:val="20"/>
              </w:rPr>
              <w:t>2024</w:t>
            </w:r>
          </w:p>
        </w:tc>
      </w:tr>
      <w:tr>
        <w:tc>
          <w:tcPr>
            <w:tcW w:type="dxa" w:w="2232"/>
          </w:tcPr>
          <w:p>
            <w:r/>
            <w:r>
              <w:rPr>
                <w:rFonts w:ascii="Times New Roman" w:hAnsi="Times New Roman"/>
                <w:sz w:val="20"/>
              </w:rPr>
              <w:t>Revenue</w:t>
            </w:r>
          </w:p>
        </w:tc>
        <w:tc>
          <w:tcPr>
            <w:tcW w:type="dxa" w:w="2232"/>
          </w:tcPr>
          <w:p>
            <w:r/>
            <w:r>
              <w:rPr>
                <w:rFonts w:ascii="Times New Roman" w:hAnsi="Times New Roman"/>
                <w:sz w:val="20"/>
              </w:rPr>
            </w:r>
          </w:p>
        </w:tc>
        <w:tc>
          <w:tcPr>
            <w:tcW w:type="dxa" w:w="2232"/>
          </w:tcPr>
          <w:p>
            <w:r/>
            <w:r>
              <w:rPr>
                <w:rFonts w:ascii="Times New Roman" w:hAnsi="Times New Roman"/>
                <w:sz w:val="20"/>
              </w:rPr>
              <w:t>2,000,000</w:t>
            </w:r>
          </w:p>
        </w:tc>
        <w:tc>
          <w:tcPr>
            <w:tcW w:type="dxa" w:w="2232"/>
          </w:tcPr>
          <w:p>
            <w:r/>
            <w:r>
              <w:rPr>
                <w:rFonts w:ascii="Times New Roman" w:hAnsi="Times New Roman"/>
                <w:sz w:val="20"/>
              </w:rPr>
              <w:t>1,800,000</w:t>
            </w:r>
          </w:p>
        </w:tc>
      </w:tr>
      <w:tr>
        <w:tc>
          <w:tcPr>
            <w:tcW w:type="dxa" w:w="2232"/>
          </w:tcPr>
          <w:p>
            <w:r/>
            <w:r>
              <w:rPr>
                <w:rFonts w:ascii="Times New Roman" w:hAnsi="Times New Roman"/>
                <w:sz w:val="20"/>
              </w:rPr>
              <w:t>Cost of revenue</w:t>
            </w:r>
          </w:p>
        </w:tc>
        <w:tc>
          <w:tcPr>
            <w:tcW w:type="dxa" w:w="2232"/>
          </w:tcPr>
          <w:p>
            <w:r/>
            <w:r>
              <w:rPr>
                <w:rFonts w:ascii="Times New Roman" w:hAnsi="Times New Roman"/>
                <w:sz w:val="20"/>
              </w:rPr>
            </w:r>
          </w:p>
        </w:tc>
        <w:tc>
          <w:tcPr>
            <w:tcW w:type="dxa" w:w="2232"/>
          </w:tcPr>
          <w:p>
            <w:r/>
            <w:r>
              <w:rPr>
                <w:rFonts w:ascii="Times New Roman" w:hAnsi="Times New Roman"/>
                <w:sz w:val="20"/>
              </w:rPr>
              <w:t>(1,400,000)</w:t>
            </w:r>
          </w:p>
        </w:tc>
        <w:tc>
          <w:tcPr>
            <w:tcW w:type="dxa" w:w="2232"/>
          </w:tcPr>
          <w:p>
            <w:r/>
            <w:r>
              <w:rPr>
                <w:rFonts w:ascii="Times New Roman" w:hAnsi="Times New Roman"/>
                <w:sz w:val="20"/>
              </w:rPr>
              <w:t>(1,300,000)</w:t>
            </w:r>
          </w:p>
        </w:tc>
      </w:tr>
      <w:tr>
        <w:tc>
          <w:tcPr>
            <w:tcW w:type="dxa" w:w="2232"/>
          </w:tcPr>
          <w:p>
            <w:r/>
            <w:r>
              <w:rPr>
                <w:rFonts w:ascii="Times New Roman" w:hAnsi="Times New Roman"/>
                <w:sz w:val="20"/>
              </w:rPr>
              <w:t>Gross profit</w:t>
            </w:r>
          </w:p>
        </w:tc>
        <w:tc>
          <w:tcPr>
            <w:tcW w:type="dxa" w:w="2232"/>
          </w:tcPr>
          <w:p>
            <w:r/>
            <w:r>
              <w:rPr>
                <w:rFonts w:ascii="Times New Roman" w:hAnsi="Times New Roman"/>
                <w:sz w:val="20"/>
              </w:rPr>
            </w:r>
          </w:p>
        </w:tc>
        <w:tc>
          <w:tcPr>
            <w:tcW w:type="dxa" w:w="2232"/>
          </w:tcPr>
          <w:p>
            <w:r/>
            <w:r>
              <w:rPr>
                <w:rFonts w:ascii="Times New Roman" w:hAnsi="Times New Roman"/>
                <w:sz w:val="20"/>
              </w:rPr>
              <w:t>600,000</w:t>
            </w:r>
          </w:p>
        </w:tc>
        <w:tc>
          <w:tcPr>
            <w:tcW w:type="dxa" w:w="2232"/>
          </w:tcPr>
          <w:p>
            <w:r/>
            <w:r>
              <w:rPr>
                <w:rFonts w:ascii="Times New Roman" w:hAnsi="Times New Roman"/>
                <w:sz w:val="20"/>
              </w:rPr>
              <w:t>500,000</w:t>
            </w:r>
          </w:p>
        </w:tc>
      </w:tr>
      <w:tr>
        <w:tc>
          <w:tcPr>
            <w:tcW w:type="dxa" w:w="2232"/>
          </w:tcPr>
          <w:p>
            <w:r/>
            <w:r>
              <w:rPr>
                <w:rFonts w:ascii="Times New Roman" w:hAnsi="Times New Roman"/>
                <w:sz w:val="20"/>
              </w:rPr>
              <w:t>General and administrative expenses</w:t>
            </w:r>
          </w:p>
        </w:tc>
        <w:tc>
          <w:tcPr>
            <w:tcW w:type="dxa" w:w="2232"/>
          </w:tcPr>
          <w:p>
            <w:r/>
            <w:r>
              <w:rPr>
                <w:rFonts w:ascii="Times New Roman" w:hAnsi="Times New Roman"/>
                <w:sz w:val="20"/>
              </w:rPr>
            </w:r>
          </w:p>
        </w:tc>
        <w:tc>
          <w:tcPr>
            <w:tcW w:type="dxa" w:w="2232"/>
          </w:tcPr>
          <w:p>
            <w:r/>
            <w:r>
              <w:rPr>
                <w:rFonts w:ascii="Times New Roman" w:hAnsi="Times New Roman"/>
                <w:sz w:val="20"/>
              </w:rPr>
              <w:t>(500,000)</w:t>
            </w:r>
          </w:p>
        </w:tc>
        <w:tc>
          <w:tcPr>
            <w:tcW w:type="dxa" w:w="2232"/>
          </w:tcPr>
          <w:p>
            <w:r/>
            <w:r>
              <w:rPr>
                <w:rFonts w:ascii="Times New Roman" w:hAnsi="Times New Roman"/>
                <w:sz w:val="20"/>
              </w:rPr>
              <w:t>(440,000)</w:t>
            </w:r>
          </w:p>
        </w:tc>
      </w:tr>
      <w:tr>
        <w:tc>
          <w:tcPr>
            <w:tcW w:type="dxa" w:w="2232"/>
          </w:tcPr>
          <w:p>
            <w:r/>
            <w:r>
              <w:rPr>
                <w:rFonts w:ascii="Times New Roman" w:hAnsi="Times New Roman"/>
                <w:sz w:val="20"/>
              </w:rPr>
              <w:t>Finance cost</w:t>
            </w:r>
          </w:p>
        </w:tc>
        <w:tc>
          <w:tcPr>
            <w:tcW w:type="dxa" w:w="2232"/>
          </w:tcPr>
          <w:p>
            <w:r/>
            <w:r>
              <w:rPr>
                <w:rFonts w:ascii="Times New Roman" w:hAnsi="Times New Roman"/>
                <w:sz w:val="20"/>
              </w:rPr>
            </w:r>
          </w:p>
        </w:tc>
        <w:tc>
          <w:tcPr>
            <w:tcW w:type="dxa" w:w="2232"/>
          </w:tcPr>
          <w:p>
            <w:r/>
            <w:r>
              <w:rPr>
                <w:rFonts w:ascii="Times New Roman" w:hAnsi="Times New Roman"/>
                <w:sz w:val="20"/>
              </w:rPr>
              <w:t>(40,000)</w:t>
            </w:r>
          </w:p>
        </w:tc>
        <w:tc>
          <w:tcPr>
            <w:tcW w:type="dxa" w:w="2232"/>
          </w:tcPr>
          <w:p>
            <w:r/>
            <w:r>
              <w:rPr>
                <w:rFonts w:ascii="Times New Roman" w:hAnsi="Times New Roman"/>
                <w:sz w:val="20"/>
              </w:rPr>
              <w:t>(30,000)</w:t>
            </w:r>
          </w:p>
        </w:tc>
      </w:tr>
      <w:tr>
        <w:tc>
          <w:tcPr>
            <w:tcW w:type="dxa" w:w="2232"/>
          </w:tcPr>
          <w:p>
            <w:r/>
            <w:r>
              <w:rPr>
                <w:rFonts w:ascii="Times New Roman" w:hAnsi="Times New Roman"/>
                <w:sz w:val="20"/>
              </w:rPr>
              <w:t>Profit for the year</w:t>
            </w:r>
          </w:p>
        </w:tc>
        <w:tc>
          <w:tcPr>
            <w:tcW w:type="dxa" w:w="2232"/>
          </w:tcPr>
          <w:p>
            <w:r/>
            <w:r>
              <w:rPr>
                <w:rFonts w:ascii="Times New Roman" w:hAnsi="Times New Roman"/>
                <w:sz w:val="20"/>
              </w:rPr>
            </w:r>
          </w:p>
        </w:tc>
        <w:tc>
          <w:tcPr>
            <w:tcW w:type="dxa" w:w="2232"/>
          </w:tcPr>
          <w:p>
            <w:r/>
            <w:r>
              <w:rPr>
                <w:rFonts w:ascii="Times New Roman" w:hAnsi="Times New Roman"/>
                <w:sz w:val="20"/>
              </w:rPr>
              <w:t>60,000</w:t>
            </w:r>
          </w:p>
        </w:tc>
        <w:tc>
          <w:tcPr>
            <w:tcW w:type="dxa" w:w="2232"/>
          </w:tcPr>
          <w:p>
            <w:r/>
            <w:r>
              <w:rPr>
                <w:rFonts w:ascii="Times New Roman" w:hAnsi="Times New Roman"/>
                <w:sz w:val="20"/>
              </w:rPr>
              <w:t>30,000</w:t>
            </w:r>
          </w:p>
        </w:tc>
      </w:tr>
    </w:tbl>
    <w:p>
      <w:r>
        <w:rPr>
          <w:rFonts w:ascii="Times New Roman" w:hAnsi="Times New Roman"/>
          <w:b/>
          <w:sz w:val="24"/>
        </w:rPr>
        <w:t>Statement of cash flows</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r>
              <w:rPr>
                <w:rFonts w:ascii="Times New Roman" w:hAnsi="Times New Roman"/>
                <w:sz w:val="20"/>
              </w:rPr>
            </w:r>
          </w:p>
        </w:tc>
        <w:tc>
          <w:tcPr>
            <w:tcW w:type="dxa" w:w="2232"/>
          </w:tcPr>
          <w:p>
            <w:r/>
            <w:r>
              <w:rPr>
                <w:rFonts w:ascii="Times New Roman" w:hAnsi="Times New Roman"/>
                <w:sz w:val="20"/>
              </w:rPr>
              <w:t>Note</w:t>
            </w:r>
          </w:p>
        </w:tc>
        <w:tc>
          <w:tcPr>
            <w:tcW w:type="dxa" w:w="2232"/>
          </w:tcPr>
          <w:p>
            <w:r/>
            <w:r>
              <w:rPr>
                <w:rFonts w:ascii="Times New Roman" w:hAnsi="Times New Roman"/>
                <w:b/>
                <w:sz w:val="20"/>
              </w:rPr>
              <w:t>2025</w:t>
            </w:r>
          </w:p>
        </w:tc>
        <w:tc>
          <w:tcPr>
            <w:tcW w:type="dxa" w:w="2232"/>
          </w:tcPr>
          <w:p>
            <w:r/>
            <w:r>
              <w:rPr>
                <w:rFonts w:ascii="Times New Roman" w:hAnsi="Times New Roman"/>
                <w:sz w:val="20"/>
              </w:rPr>
              <w:t>2024</w:t>
            </w:r>
          </w:p>
        </w:tc>
      </w:tr>
      <w:tr>
        <w:tc>
          <w:tcPr>
            <w:tcW w:type="dxa" w:w="2232"/>
          </w:tcPr>
          <w:p>
            <w:r/>
            <w:r>
              <w:rPr>
                <w:rFonts w:ascii="Times New Roman" w:hAnsi="Times New Roman"/>
                <w:sz w:val="20"/>
              </w:rPr>
              <w:t>Cash flows from operating activities</w:t>
            </w:r>
          </w:p>
        </w:tc>
        <w:tc>
          <w:tcPr>
            <w:tcW w:type="dxa" w:w="2232"/>
          </w:tcPr>
          <w:p>
            <w:r/>
            <w:r>
              <w:rPr>
                <w:rFonts w:ascii="Times New Roman" w:hAnsi="Times New Roman"/>
                <w:sz w:val="20"/>
              </w:rPr>
            </w:r>
          </w:p>
        </w:tc>
        <w:tc>
          <w:tcPr>
            <w:tcW w:type="dxa" w:w="2232"/>
          </w:tcPr>
          <w:p>
            <w:r/>
            <w:r>
              <w:rPr>
                <w:rFonts w:ascii="Times New Roman" w:hAnsi="Times New Roman"/>
                <w:sz w:val="20"/>
              </w:rPr>
            </w:r>
          </w:p>
        </w:tc>
        <w:tc>
          <w:tcPr>
            <w:tcW w:type="dxa" w:w="2232"/>
          </w:tcPr>
          <w:p>
            <w:r/>
            <w:r>
              <w:rPr>
                <w:rFonts w:ascii="Times New Roman" w:hAnsi="Times New Roman"/>
                <w:sz w:val="20"/>
              </w:rPr>
            </w:r>
          </w:p>
        </w:tc>
      </w:tr>
      <w:tr>
        <w:tc>
          <w:tcPr>
            <w:tcW w:type="dxa" w:w="2232"/>
          </w:tcPr>
          <w:p>
            <w:r/>
            <w:r>
              <w:rPr>
                <w:rFonts w:ascii="Times New Roman" w:hAnsi="Times New Roman"/>
                <w:sz w:val="20"/>
              </w:rPr>
              <w:t>Net cash from operating activities</w:t>
            </w:r>
          </w:p>
        </w:tc>
        <w:tc>
          <w:tcPr>
            <w:tcW w:type="dxa" w:w="2232"/>
          </w:tcPr>
          <w:p>
            <w:r/>
            <w:r>
              <w:rPr>
                <w:rFonts w:ascii="Times New Roman" w:hAnsi="Times New Roman"/>
                <w:sz w:val="20"/>
              </w:rPr>
            </w:r>
          </w:p>
        </w:tc>
        <w:tc>
          <w:tcPr>
            <w:tcW w:type="dxa" w:w="2232"/>
          </w:tcPr>
          <w:p>
            <w:r/>
            <w:r>
              <w:rPr>
                <w:rFonts w:ascii="Times New Roman" w:hAnsi="Times New Roman"/>
                <w:sz w:val="20"/>
              </w:rPr>
              <w:t>95,000</w:t>
            </w:r>
          </w:p>
        </w:tc>
        <w:tc>
          <w:tcPr>
            <w:tcW w:type="dxa" w:w="2232"/>
          </w:tcPr>
          <w:p>
            <w:r/>
            <w:r>
              <w:rPr>
                <w:rFonts w:ascii="Times New Roman" w:hAnsi="Times New Roman"/>
                <w:sz w:val="20"/>
              </w:rPr>
              <w:t>70,000</w:t>
            </w:r>
          </w:p>
        </w:tc>
      </w:tr>
      <w:tr>
        <w:tc>
          <w:tcPr>
            <w:tcW w:type="dxa" w:w="2232"/>
          </w:tcPr>
          <w:p>
            <w:r/>
            <w:r>
              <w:rPr>
                <w:rFonts w:ascii="Times New Roman" w:hAnsi="Times New Roman"/>
                <w:sz w:val="20"/>
              </w:rPr>
              <w:t>Net increase in cash and cash equivalents</w:t>
            </w:r>
          </w:p>
        </w:tc>
        <w:tc>
          <w:tcPr>
            <w:tcW w:type="dxa" w:w="2232"/>
          </w:tcPr>
          <w:p>
            <w:r/>
            <w:r>
              <w:rPr>
                <w:rFonts w:ascii="Times New Roman" w:hAnsi="Times New Roman"/>
                <w:sz w:val="20"/>
              </w:rPr>
            </w:r>
          </w:p>
        </w:tc>
        <w:tc>
          <w:tcPr>
            <w:tcW w:type="dxa" w:w="2232"/>
          </w:tcPr>
          <w:p>
            <w:r/>
            <w:r>
              <w:rPr>
                <w:rFonts w:ascii="Times New Roman" w:hAnsi="Times New Roman"/>
                <w:sz w:val="20"/>
              </w:rPr>
              <w:t>20,000</w:t>
            </w:r>
          </w:p>
        </w:tc>
        <w:tc>
          <w:tcPr>
            <w:tcW w:type="dxa" w:w="2232"/>
          </w:tcPr>
          <w:p>
            <w:r/>
            <w:r>
              <w:rPr>
                <w:rFonts w:ascii="Times New Roman" w:hAnsi="Times New Roman"/>
                <w:sz w:val="20"/>
              </w:rPr>
              <w:t>10,000</w:t>
            </w:r>
          </w:p>
        </w:tc>
      </w:tr>
      <w:tr>
        <w:tc>
          <w:tcPr>
            <w:tcW w:type="dxa" w:w="2232"/>
          </w:tcPr>
          <w:p>
            <w:r/>
            <w:r>
              <w:rPr>
                <w:rFonts w:ascii="Times New Roman" w:hAnsi="Times New Roman"/>
                <w:sz w:val="20"/>
              </w:rPr>
              <w:t>Cash and cash equivalents at the end of the year</w:t>
            </w:r>
          </w:p>
        </w:tc>
        <w:tc>
          <w:tcPr>
            <w:tcW w:type="dxa" w:w="2232"/>
          </w:tcPr>
          <w:p>
            <w:r/>
            <w:r>
              <w:rPr>
                <w:rFonts w:ascii="Times New Roman" w:hAnsi="Times New Roman"/>
                <w:sz w:val="20"/>
              </w:rPr>
            </w:r>
          </w:p>
        </w:tc>
        <w:tc>
          <w:tcPr>
            <w:tcW w:type="dxa" w:w="2232"/>
          </w:tcPr>
          <w:p>
            <w:r/>
            <w:r>
              <w:rPr>
                <w:rFonts w:ascii="Times New Roman" w:hAnsi="Times New Roman"/>
                <w:sz w:val="20"/>
              </w:rPr>
              <w:t>80,000</w:t>
            </w:r>
          </w:p>
        </w:tc>
        <w:tc>
          <w:tcPr>
            <w:tcW w:type="dxa" w:w="2232"/>
          </w:tcPr>
          <w:p>
            <w:r/>
            <w:r>
              <w:rPr>
                <w:rFonts w:ascii="Times New Roman" w:hAnsi="Times New Roman"/>
                <w:sz w:val="20"/>
              </w:rPr>
              <w:t>60,000</w:t>
            </w:r>
          </w:p>
        </w:tc>
      </w:tr>
    </w:tbl>
    <w:p>
      <w:r>
        <w:rPr>
          <w:rFonts w:ascii="Times New Roman" w:hAnsi="Times New Roman"/>
          <w:b/>
          <w:sz w:val="24"/>
        </w:rPr>
        <w:t>Statement of changes in equity</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r>
              <w:rPr>
                <w:rFonts w:ascii="Times New Roman" w:hAnsi="Times New Roman"/>
                <w:sz w:val="20"/>
              </w:rPr>
            </w:r>
          </w:p>
        </w:tc>
        <w:tc>
          <w:tcPr>
            <w:tcW w:type="dxa" w:w="2232"/>
          </w:tcPr>
          <w:p>
            <w:r/>
            <w:r>
              <w:rPr>
                <w:rFonts w:ascii="Times New Roman" w:hAnsi="Times New Roman"/>
                <w:sz w:val="20"/>
              </w:rPr>
              <w:t>Share capital</w:t>
            </w:r>
          </w:p>
        </w:tc>
        <w:tc>
          <w:tcPr>
            <w:tcW w:type="dxa" w:w="2232"/>
          </w:tcPr>
          <w:p>
            <w:r/>
            <w:r>
              <w:rPr>
                <w:rFonts w:ascii="Times New Roman" w:hAnsi="Times New Roman"/>
                <w:sz w:val="20"/>
              </w:rPr>
              <w:t>Retained earnings</w:t>
            </w:r>
          </w:p>
        </w:tc>
        <w:tc>
          <w:tcPr>
            <w:tcW w:type="dxa" w:w="2232"/>
          </w:tcPr>
          <w:p>
            <w:r/>
            <w:r>
              <w:rPr>
                <w:rFonts w:ascii="Times New Roman" w:hAnsi="Times New Roman"/>
                <w:sz w:val="20"/>
              </w:rPr>
              <w:t>Total</w:t>
            </w:r>
          </w:p>
        </w:tc>
      </w:tr>
      <w:tr>
        <w:tc>
          <w:tcPr>
            <w:tcW w:type="dxa" w:w="2232"/>
          </w:tcPr>
          <w:p>
            <w:r/>
            <w:r>
              <w:rPr>
                <w:rFonts w:ascii="Times New Roman" w:hAnsi="Times New Roman"/>
                <w:sz w:val="20"/>
              </w:rPr>
              <w:t>Balance at 1 January 2025</w:t>
            </w:r>
          </w:p>
        </w:tc>
        <w:tc>
          <w:tcPr>
            <w:tcW w:type="dxa" w:w="2232"/>
          </w:tcPr>
          <w:p>
            <w:r/>
            <w:r>
              <w:rPr>
                <w:rFonts w:ascii="Times New Roman" w:hAnsi="Times New Roman"/>
                <w:sz w:val="20"/>
              </w:rPr>
              <w:t>300,000</w:t>
            </w:r>
          </w:p>
        </w:tc>
        <w:tc>
          <w:tcPr>
            <w:tcW w:type="dxa" w:w="2232"/>
          </w:tcPr>
          <w:p>
            <w:r/>
            <w:r>
              <w:rPr>
                <w:rFonts w:ascii="Times New Roman" w:hAnsi="Times New Roman"/>
                <w:sz w:val="20"/>
              </w:rPr>
              <w:t>190,000</w:t>
            </w:r>
          </w:p>
        </w:tc>
        <w:tc>
          <w:tcPr>
            <w:tcW w:type="dxa" w:w="2232"/>
          </w:tcPr>
          <w:p>
            <w:r/>
            <w:r>
              <w:rPr>
                <w:rFonts w:ascii="Times New Roman" w:hAnsi="Times New Roman"/>
                <w:sz w:val="20"/>
              </w:rPr>
              <w:t>490,000</w:t>
            </w:r>
          </w:p>
        </w:tc>
      </w:tr>
      <w:tr>
        <w:tc>
          <w:tcPr>
            <w:tcW w:type="dxa" w:w="2232"/>
          </w:tcPr>
          <w:p>
            <w:r/>
            <w:r>
              <w:rPr>
                <w:rFonts w:ascii="Times New Roman" w:hAnsi="Times New Roman"/>
                <w:sz w:val="20"/>
              </w:rPr>
              <w:t>Profit for the year</w:t>
            </w:r>
          </w:p>
        </w:tc>
        <w:tc>
          <w:tcPr>
            <w:tcW w:type="dxa" w:w="2232"/>
          </w:tcPr>
          <w:p>
            <w:r/>
            <w:r>
              <w:rPr>
                <w:rFonts w:ascii="Times New Roman" w:hAnsi="Times New Roman"/>
                <w:sz w:val="20"/>
              </w:rPr>
              <w:t>-</w:t>
            </w:r>
          </w:p>
        </w:tc>
        <w:tc>
          <w:tcPr>
            <w:tcW w:type="dxa" w:w="2232"/>
          </w:tcPr>
          <w:p>
            <w:r/>
            <w:r>
              <w:rPr>
                <w:rFonts w:ascii="Times New Roman" w:hAnsi="Times New Roman"/>
                <w:sz w:val="20"/>
              </w:rPr>
              <w:t>60,000</w:t>
            </w:r>
          </w:p>
        </w:tc>
        <w:tc>
          <w:tcPr>
            <w:tcW w:type="dxa" w:w="2232"/>
          </w:tcPr>
          <w:p>
            <w:r/>
            <w:r>
              <w:rPr>
                <w:rFonts w:ascii="Times New Roman" w:hAnsi="Times New Roman"/>
                <w:sz w:val="20"/>
              </w:rPr>
              <w:t>60,000</w:t>
            </w:r>
          </w:p>
        </w:tc>
      </w:tr>
      <w:tr>
        <w:tc>
          <w:tcPr>
            <w:tcW w:type="dxa" w:w="2232"/>
          </w:tcPr>
          <w:p>
            <w:r/>
            <w:r>
              <w:rPr>
                <w:rFonts w:ascii="Times New Roman" w:hAnsi="Times New Roman"/>
                <w:sz w:val="20"/>
              </w:rPr>
              <w:t>Balance at 31 December 2025</w:t>
            </w:r>
          </w:p>
        </w:tc>
        <w:tc>
          <w:tcPr>
            <w:tcW w:type="dxa" w:w="2232"/>
          </w:tcPr>
          <w:p>
            <w:r/>
            <w:r>
              <w:rPr>
                <w:rFonts w:ascii="Times New Roman" w:hAnsi="Times New Roman"/>
                <w:sz w:val="20"/>
              </w:rPr>
              <w:t>300,000</w:t>
            </w:r>
          </w:p>
        </w:tc>
        <w:tc>
          <w:tcPr>
            <w:tcW w:type="dxa" w:w="2232"/>
          </w:tcPr>
          <w:p>
            <w:r/>
            <w:r>
              <w:rPr>
                <w:rFonts w:ascii="Times New Roman" w:hAnsi="Times New Roman"/>
                <w:sz w:val="20"/>
              </w:rPr>
              <w:t>250,000</w:t>
            </w:r>
          </w:p>
        </w:tc>
        <w:tc>
          <w:tcPr>
            <w:tcW w:type="dxa" w:w="2232"/>
          </w:tcPr>
          <w:p>
            <w:r/>
            <w:r>
              <w:rPr>
                <w:rFonts w:ascii="Times New Roman" w:hAnsi="Times New Roman"/>
                <w:sz w:val="20"/>
              </w:rPr>
              <w:t>550,000</w:t>
            </w:r>
          </w:p>
        </w:tc>
      </w:tr>
    </w:tbl>
    <w:p>
      <w:r>
        <w:rPr>
          <w:rFonts w:ascii="Times New Roman" w:hAnsi="Times New Roman"/>
          <w:b/>
          <w:sz w:val="24"/>
        </w:rPr>
        <w:t>Notes to the financial statements</w:t>
      </w:r>
    </w:p>
    <w:p>
      <w:pPr>
        <w:jc w:val="both"/>
      </w:pPr>
      <w:r>
        <w:rPr>
          <w:rFonts w:ascii="Times New Roman" w:hAnsi="Times New Roman"/>
          <w:b w:val="0"/>
          <w:sz w:val="20"/>
        </w:rPr>
        <w:t>GOLDEN CREST TRADING DMCC (the 'Company') is a free zone company incorporated in Dubai and licensed by DMCC. The shareholders are Mohammed Al Hashmi, Fatima Khan and Rajan Pillai.</w:t>
      </w:r>
    </w:p>
    <w:p>
      <w:r>
        <w:rPr>
          <w:rFonts w:ascii="Times New Roman" w:hAnsi="Times New Roman"/>
          <w:b/>
          <w:sz w:val="20"/>
        </w:rPr>
        <w:t>5. Cash and bank balances</w:t>
      </w:r>
    </w:p>
    <w:p>
      <w:r>
        <w:rPr>
          <w:rFonts w:ascii="Times New Roman" w:hAnsi="Times New Roman"/>
          <w:b/>
          <w:sz w:val="20"/>
        </w:rPr>
        <w:t>7. Inventories</w:t>
      </w:r>
    </w:p>
    <w:p>
      <w:r>
        <w:rPr>
          <w:rFonts w:ascii="Times New Roman" w:hAnsi="Times New Roman"/>
          <w:b/>
          <w:sz w:val="20"/>
        </w:rPr>
        <w:t>9. Share capital</w:t>
      </w:r>
    </w:p>
    <w:p>
      <w:r>
        <w:rPr>
          <w:rFonts w:ascii="Times New Roman" w:hAnsi="Times New Roman"/>
          <w:b/>
          <w:sz w:val="20"/>
        </w:rPr>
        <w:t>6. Trade receivables</w:t>
      </w:r>
    </w:p>
    <w:p>
      <w:r>
        <w:rPr>
          <w:rFonts w:ascii="Times New Roman" w:hAnsi="Times New Roman"/>
          <w:b/>
          <w:sz w:val="20"/>
        </w:rPr>
        <w:t>8. Property, plant and equipment</w:t>
      </w:r>
    </w:p>
    <w:p>
      <w:r>
        <w:rPr>
          <w:rFonts w:ascii="Times New Roman" w:hAnsi="Times New Roman"/>
          <w:b/>
          <w:sz w:val="20"/>
        </w:rPr>
        <w:t>10. Other balance (note 10)</w:t>
      </w:r>
    </w:p>
    <w:p>
      <w:r>
        <w:rPr>
          <w:rFonts w:ascii="Times New Roman" w:hAnsi="Times New Roman"/>
          <w:b/>
          <w:sz w:val="20"/>
        </w:rPr>
        <w:t>11. Other balance (note 11)</w:t>
      </w:r>
    </w:p>
    <w:p>
      <w:r>
        <w:rPr>
          <w:rFonts w:ascii="Times New Roman" w:hAnsi="Times New Roman"/>
          <w:b/>
          <w:sz w:val="20"/>
        </w:rPr>
        <w:t>12. Other balance (note 12)</w:t>
      </w:r>
    </w:p>
    <w:p>
      <w:r>
        <w:rPr>
          <w:rFonts w:ascii="Times New Roman" w:hAnsi="Times New Roman"/>
          <w:b/>
          <w:sz w:val="20"/>
        </w:rPr>
        <w:t>13. Other balance (note 13)</w:t>
      </w:r>
    </w:p>
    <w:p>
      <w:r>
        <w:rPr>
          <w:rFonts w:ascii="Times New Roman" w:hAnsi="Times New Roman"/>
          <w:b/>
          <w:sz w:val="20"/>
        </w:rPr>
        <w:t>14. Other balance (note 14)</w:t>
      </w:r>
    </w:p>
    <w:p>
      <w:r>
        <w:rPr>
          <w:rFonts w:ascii="Times New Roman" w:hAnsi="Times New Roman"/>
          <w:b/>
          <w:sz w:val="20"/>
        </w:rPr>
        <w:t>15. Other balance (note 15)</w:t>
      </w:r>
    </w:p>
    <w:p>
      <w:pPr>
        <w:jc w:val="both"/>
      </w:pPr>
      <w:r>
        <w:rPr>
          <w:rFonts w:ascii="Times New Roman" w:hAnsi="Times New Roman"/>
          <w:b w:val="0"/>
          <w:sz w:val="20"/>
        </w:rPr>
        <w:t>Cash and bank balances are held with banks in the UAE.</w:t>
      </w:r>
    </w:p>
    <w:p>
      <w:pPr>
        <w:jc w:val="both"/>
      </w:pPr>
      <w:r>
        <w:rPr>
          <w:rFonts w:ascii="Times New Roman" w:hAnsi="Times New Roman"/>
          <w:b w:val="0"/>
          <w:sz w:val="20"/>
        </w:rPr>
        <w:t>Property, plant and equipment are depreciated over their useful lives of 3 to 5 years.</w:t>
      </w:r>
    </w:p>
    <w:p>
      <w:pPr>
        <w:jc w:val="both"/>
      </w:pPr>
      <w:r>
        <w:rPr>
          <w:rFonts w:ascii="Times New Roman" w:hAnsi="Times New Roman"/>
          <w:b w:val="0"/>
          <w:sz w:val="20"/>
        </w:rPr>
        <w:t>Provision for end of service benefits is made in accordance with UAE labour law.</w:t>
      </w:r>
    </w:p>
    <w:p>
      <w:pPr>
        <w:jc w:val="both"/>
      </w:pPr>
      <w:r>
        <w:rPr>
          <w:rFonts w:ascii="Times New Roman" w:hAnsi="Times New Roman"/>
          <w:b w:val="0"/>
          <w:sz w:val="20"/>
        </w:rPr>
        <w:t>Trade receivables are stated net of the expected credit loss (IFRS 9 simplified approach). Ageing of trade receivables:</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r>
              <w:rPr>
                <w:rFonts w:ascii="Times New Roman" w:hAnsi="Times New Roman"/>
                <w:sz w:val="20"/>
              </w:rPr>
              <w:t>Receivables</w:t>
            </w:r>
          </w:p>
        </w:tc>
        <w:tc>
          <w:tcPr>
            <w:tcW w:type="dxa" w:w="2232"/>
          </w:tcPr>
          <w:p>
            <w:r/>
            <w:r>
              <w:rPr>
                <w:rFonts w:ascii="Times New Roman" w:hAnsi="Times New Roman"/>
                <w:sz w:val="20"/>
              </w:rPr>
              <w:t>0-30 days</w:t>
            </w:r>
          </w:p>
        </w:tc>
        <w:tc>
          <w:tcPr>
            <w:tcW w:type="dxa" w:w="2232"/>
          </w:tcPr>
          <w:p>
            <w:r/>
            <w:r>
              <w:rPr>
                <w:rFonts w:ascii="Times New Roman" w:hAnsi="Times New Roman"/>
                <w:sz w:val="20"/>
              </w:rPr>
              <w:t>31-60 days</w:t>
            </w:r>
          </w:p>
        </w:tc>
        <w:tc>
          <w:tcPr>
            <w:tcW w:type="dxa" w:w="2232"/>
          </w:tcPr>
          <w:p>
            <w:r/>
            <w:r>
              <w:rPr>
                <w:rFonts w:ascii="Times New Roman" w:hAnsi="Times New Roman"/>
                <w:sz w:val="20"/>
              </w:rPr>
              <w:t>Over 60 days</w:t>
            </w:r>
          </w:p>
        </w:tc>
      </w:tr>
      <w:tr>
        <w:tc>
          <w:tcPr>
            <w:tcW w:type="dxa" w:w="2232"/>
          </w:tcPr>
          <w:p>
            <w:r/>
            <w:r>
              <w:rPr>
                <w:rFonts w:ascii="Times New Roman" w:hAnsi="Times New Roman"/>
                <w:sz w:val="20"/>
              </w:rPr>
              <w:t>Trade receivables</w:t>
            </w:r>
          </w:p>
        </w:tc>
        <w:tc>
          <w:tcPr>
            <w:tcW w:type="dxa" w:w="2232"/>
          </w:tcPr>
          <w:p>
            <w:r/>
            <w:r>
              <w:rPr>
                <w:rFonts w:ascii="Times New Roman" w:hAnsi="Times New Roman"/>
                <w:sz w:val="20"/>
              </w:rPr>
              <w:t>300,000</w:t>
            </w:r>
          </w:p>
        </w:tc>
        <w:tc>
          <w:tcPr>
            <w:tcW w:type="dxa" w:w="2232"/>
          </w:tcPr>
          <w:p>
            <w:r/>
            <w:r>
              <w:rPr>
                <w:rFonts w:ascii="Times New Roman" w:hAnsi="Times New Roman"/>
                <w:sz w:val="20"/>
              </w:rPr>
              <w:t>80,000</w:t>
            </w:r>
          </w:p>
        </w:tc>
        <w:tc>
          <w:tcPr>
            <w:tcW w:type="dxa" w:w="2232"/>
          </w:tcPr>
          <w:p>
            <w:r/>
            <w:r>
              <w:rPr>
                <w:rFonts w:ascii="Times New Roman" w:hAnsi="Times New Roman"/>
                <w:sz w:val="20"/>
              </w:rPr>
              <w:t>40,000</w:t>
            </w:r>
          </w:p>
        </w:tc>
      </w:tr>
    </w:tbl>
    <w:p>
      <w:pPr>
        <w:jc w:val="both"/>
      </w:pPr>
      <w:r>
        <w:rPr>
          <w:rFonts w:ascii="Times New Roman" w:hAnsi="Times New Roman"/>
          <w:b w:val="0"/>
          <w:sz w:val="20"/>
        </w:rPr>
        <w:t>The Company is registered for VAT; duties and taxes payable represent net VAT due to the FTA.</w:t>
      </w:r>
    </w:p>
    <w:p>
      <w:pPr>
        <w:jc w:val="both"/>
      </w:pPr>
      <w:r>
        <w:rPr>
          <w:rFonts w:ascii="Times New Roman" w:hAnsi="Times New Roman"/>
          <w:b w:val="0"/>
          <w:sz w:val="20"/>
        </w:rPr>
        <w:t>The Company is subject to UAE corporate tax at the applicable rate; no deferred tax is recognised.</w:t>
      </w:r>
    </w:p>
    <w:p>
      <w:pPr>
        <w:jc w:val="both"/>
      </w:pPr>
      <w:r>
        <w:rPr>
          <w:rFonts w:ascii="Times New Roman" w:hAnsi="Times New Roman"/>
          <w:b w:val="0"/>
          <w:sz w:val="20"/>
        </w:rPr>
        <w:t>Standards issued but not yet effective: IFRS 18 Presentation and Disclosure in Financial Statements; IFRS 19 Subsidiaries without Public Accountability; Amendments to the Classification and Measurement of Financial Instruments (IFRS 9 and IFRS 7).</w:t>
      </w:r>
    </w:p>
    <w:sectPr w:rsidR="00FC693F" w:rsidRPr="0006063C" w:rsidSect="00034616">
      <w:headerReference w:type="default" r:id="rId9"/>
      <w:pgSz w:w="12240" w:h="15840"/>
      <w:pgMar w:top="2160" w:right="1440" w:bottom="144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GOLDEN CREST TRADING DMCC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