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100"/>
        <w:jc w:val="center"/>
      </w:pPr>
      <w:r>
        <w:rPr>
          <w:b/>
          <w:bCs/>
          <w:color w:val="595959"/>
          <w:sz w:val="32"/>
          <w:szCs w:val="32"/>
        </w:rPr>
        <w:t xml:space="preserve">AICA – Level 2</w:t>
      </w:r>
    </w:p>
    <w:p>
      <w:pPr>
        <w:spacing w:after="500"/>
        <w:jc w:val="center"/>
      </w:pPr>
      <w:r>
        <w:rPr>
          <w:color w:val="595959"/>
          <w:sz w:val="26"/>
          <w:szCs w:val="26"/>
        </w:rPr>
        <w:t xml:space="preserve">Batch 81 · Bengaluru</w:t>
      </w:r>
    </w:p>
    <w:p>
      <w:pPr>
        <w:spacing w:after="200"/>
        <w:jc w:val="center"/>
      </w:pPr>
      <w:r>
        <w:rPr>
          <w:b/>
          <w:bCs/>
          <w:color w:val="1F3864"/>
          <w:sz w:val="30"/>
          <w:szCs w:val="30"/>
        </w:rPr>
        <w:t xml:space="preserve">PROJECT REPORT</w:t>
      </w:r>
    </w:p>
    <w:p>
      <w:pPr>
        <w:spacing w:after="60"/>
        <w:jc w:val="center"/>
      </w:pPr>
      <w:r>
        <w:rPr>
          <w:b/>
          <w:bCs/>
          <w:color w:val="1F3864"/>
          <w:sz w:val="56"/>
          <w:szCs w:val="56"/>
        </w:rPr>
        <w:t xml:space="preserve">HSNexus</w:t>
      </w:r>
    </w:p>
    <w:p>
      <w:pPr>
        <w:spacing w:after="700"/>
        <w:jc w:val="center"/>
      </w:pPr>
      <w:r>
        <w:rPr>
          <w:i/>
          <w:iCs/>
          <w:color w:val="2E5395"/>
          <w:sz w:val="28"/>
          <w:szCs w:val="28"/>
        </w:rPr>
        <w:t xml:space="preserve">GST Invoice Extractor</w:t>
      </w:r>
    </w:p>
    <w:p>
      <w:pPr>
        <w:pBdr>
          <w:top w:val="single" w:color="1F3864" w:sz="6" w:space="8"/>
          <w:bottom w:val="single" w:color="1F3864" w:sz="6" w:space="8"/>
        </w:pBdr>
        <w:spacing w:after="700"/>
        <w:jc w:val="center"/>
      </w:pPr>
      <w:r>
        <w:rPr>
          <w:i/>
          <w:iCs/>
          <w:color w:val="595959"/>
          <w:sz w:val="22"/>
          <w:szCs w:val="22"/>
        </w:rPr>
        <w:t xml:space="preserve">An AI-assisted tool that reads GST tax invoices and customs Bill of Entry documents (including scanned copies) from a folder and exports HSN/SAC-wise line-item data to Excel.</w:t>
      </w:r>
    </w:p>
    <w:p>
      <w:pPr>
        <w:spacing w:after="120"/>
        <w:jc w:val="center"/>
      </w:pPr>
      <w:r>
        <w:rPr>
          <w:b/>
          <w:bCs/>
          <w:color w:val="1F3864"/>
          <w:sz w:val="24"/>
          <w:szCs w:val="24"/>
        </w:rPr>
        <w:t xml:space="preserve">Prepared by:  </w:t>
      </w:r>
      <w:r>
        <w:rPr>
          <w:sz w:val="24"/>
          <w:szCs w:val="24"/>
        </w:rPr>
        <w:t xml:space="preserve">CA Jayanth V Bhat</w:t>
      </w:r>
    </w:p>
    <w:p>
      <w:pPr>
        <w:spacing w:after="120"/>
        <w:jc w:val="center"/>
      </w:pPr>
      <w:r>
        <w:rPr>
          <w:b/>
          <w:bCs/>
          <w:color w:val="1F3864"/>
          <w:sz w:val="24"/>
          <w:szCs w:val="24"/>
        </w:rPr>
        <w:t xml:space="preserve">Membership No:  </w:t>
      </w:r>
      <w:r>
        <w:rPr>
          <w:sz w:val="24"/>
          <w:szCs w:val="24"/>
        </w:rPr>
        <w:t xml:space="preserve">256905</w:t>
      </w:r>
    </w:p>
    <w:p>
      <w:pPr>
        <w:spacing w:after="120"/>
        <w:jc w:val="center"/>
      </w:pPr>
      <w:r>
        <w:rPr>
          <w:b/>
          <w:bCs/>
          <w:color w:val="1F3864"/>
          <w:sz w:val="24"/>
          <w:szCs w:val="24"/>
        </w:rPr>
        <w:t xml:space="preserve">Date:  </w:t>
      </w:r>
      <w:r>
        <w:rPr>
          <w:sz w:val="24"/>
          <w:szCs w:val="24"/>
        </w:rPr>
        <w:t xml:space="preserve">12 September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 Project Overview</w:t>
      </w:r>
    </w:p>
    <w:p>
      <w:pPr>
        <w:spacing w:after="160" w:line="300"/>
      </w:pPr>
      <w:r>
        <w:rPr>
          <w:sz w:val="22"/>
          <w:szCs w:val="22"/>
        </w:rPr>
        <w:t xml:space="preserve">HSNexus is a locally-run web application that automates a task GST practitioners currently do by hand: opening dozens or hundreds of vendor invoices one by one, reading off the HSN/SAC code, taxable value and tax amount for each line item, and re-typing that data into a spreadsheet. The tool scans an entire folder (including all sub-folders) of invoice PDFs in one pass, extracts this data automatically - including from scanned/photographed invoices via OCR, and customs Bill of Entry copies as a distinct document type - and produces a clean, formatted Excel workbook ready for GST working papers or refund annexures.</w:t>
      </w:r>
    </w:p>
    <w:p>
      <w:pPr>
        <w:spacing w:after="160" w:line="300"/>
      </w:pPr>
      <w:r>
        <w:rPr>
          <w:sz w:val="22"/>
          <w:szCs w:val="22"/>
        </w:rPr>
        <w:t xml:space="preserve">The project was built as a full-stack local application: a Python/Flask backend performs the PDF reading, table detection and OCR; a browser-based front end lets the user pick a folder, watch live progress, filter results by confidence, and preview the source PDF for any row; and the output is a multi-sheet, color-coded Excel file.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 How the Program Works (Brief)</w:t>
      </w:r>
    </w:p>
    <w:p>
      <w:pPr>
        <w:spacing w:after="130" w:line="280"/>
      </w:pPr>
      <w:r>
        <w:rPr>
          <w:b/>
          <w:bCs/>
          <w:sz w:val="22"/>
          <w:szCs w:val="22"/>
        </w:rPr>
        <w:t xml:space="preserve">Step 1 - Folder scan: </w:t>
      </w:r>
      <w:r>
        <w:rPr>
          <w:sz w:val="22"/>
          <w:szCs w:val="22"/>
        </w:rPr>
        <w:t xml:space="preserve">the user enters a folder path in the browser UI and clicks “Scan Folder”. The app walks that folder and every sub-folder, collecting every .pdf file.</w:t>
      </w:r>
    </w:p>
    <w:p>
      <w:pPr>
        <w:spacing w:after="130" w:line="280"/>
      </w:pPr>
      <w:r>
        <w:rPr>
          <w:b/>
          <w:bCs/>
          <w:sz w:val="22"/>
          <w:szCs w:val="22"/>
        </w:rPr>
        <w:t xml:space="preserve">Step 2 - Text extraction: </w:t>
      </w:r>
      <w:r>
        <w:rPr>
          <w:sz w:val="22"/>
          <w:szCs w:val="22"/>
        </w:rPr>
        <w:t xml:space="preserve">each PDF is opened and its text is read directly where possible. If a PDF has no usable text layer - i.e. it is a scanned or photographed invoice saved as a PDF - the page is rendered as an image and passed through Tesseract OCR to recover the text.</w:t>
      </w:r>
    </w:p>
    <w:p>
      <w:pPr>
        <w:spacing w:after="130" w:line="280"/>
      </w:pPr>
      <w:r>
        <w:rPr>
          <w:b/>
          <w:bCs/>
          <w:sz w:val="22"/>
          <w:szCs w:val="22"/>
        </w:rPr>
        <w:t xml:space="preserve">Step 3 - Document classification: </w:t>
      </w:r>
      <w:r>
        <w:rPr>
          <w:sz w:val="22"/>
          <w:szCs w:val="22"/>
        </w:rPr>
        <w:t xml:space="preserve">the extracted text is checked for the signature of a customs Bill of Entry (“Bill of Entry” + “CTH” markers). Bill of Entry copies are parsed with a dedicated routine (BE Number, importer/supplier, CTH code, and INR-converted item value); everything else is treated as a regular GST tax invoice.</w:t>
      </w:r>
    </w:p>
    <w:p>
      <w:pPr>
        <w:spacing w:after="130" w:line="280"/>
      </w:pPr>
      <w:r>
        <w:rPr>
          <w:b/>
          <w:bCs/>
          <w:sz w:val="22"/>
          <w:szCs w:val="22"/>
        </w:rPr>
        <w:t xml:space="preserve">Step 4 - Field extraction: </w:t>
      </w:r>
      <w:r>
        <w:rPr>
          <w:sz w:val="22"/>
          <w:szCs w:val="22"/>
        </w:rPr>
        <w:t xml:space="preserve">for tax invoices, the HSN/SAC line-item table is located by its header row, and the invoice number, vendor name and vendor GSTIN are read from the letterhead area above the “Customer / Bill To” section. Where no clean table can be parsed, a best-effort text scan recovers line items instead, and the row is clearly flagged for manual review.</w:t>
      </w:r>
    </w:p>
    <w:p>
      <w:pPr>
        <w:spacing w:after="130" w:line="280"/>
      </w:pPr>
      <w:r>
        <w:rPr>
          <w:b/>
          <w:bCs/>
          <w:sz w:val="22"/>
          <w:szCs w:val="22"/>
        </w:rPr>
        <w:t xml:space="preserve">Step 5 - Quality checks: </w:t>
      </w:r>
      <w:r>
        <w:rPr>
          <w:sz w:val="22"/>
          <w:szCs w:val="22"/>
        </w:rPr>
        <w:t xml:space="preserve">every extracted GSTIN is checked against the official GSTIN check-digit formula, and each line item is checked for internally inconsistent tax splits (e.g. CGST not equal to SGST, or IGST appearing together with CGST/SGST). Invoices repeated across more than one PDF (same invoice number and vendor) are flagged as possible duplicates. Each row is then given a High / Medium / Low Confidence rating based on how it was extracted, shown as a colour-coded, filterable badge in the browser and in the Excel output.</w:t>
      </w:r>
    </w:p>
    <w:p>
      <w:pPr>
        <w:spacing w:after="130" w:line="280"/>
      </w:pPr>
      <w:r>
        <w:rPr>
          <w:b/>
          <w:bCs/>
          <w:sz w:val="22"/>
          <w:szCs w:val="22"/>
        </w:rPr>
        <w:t xml:space="preserve">Step 6 - Export: </w:t>
      </w:r>
      <w:r>
        <w:rPr>
          <w:sz w:val="22"/>
          <w:szCs w:val="22"/>
        </w:rPr>
        <w:t xml:space="preserve">results are shown in the browser with live progress feedback while the scan runs, and exported to a formatted .xlsx workbook: one sheet with every HSN/SAC line item (grouped and colour-banded by invoice), and a Summary sheet with vendor-wise and HSN-wise subtotals of taxable value and tax.</w:t>
      </w:r>
    </w:p>
    <w:p>
      <w:pPr>
        <w:spacing w:after="160" w:line="300"/>
      </w:pPr>
      <w:r>
        <w:rPr>
          <w:i/>
          <w:iCs/>
          <w:color w:val="595959"/>
          <w:sz w:val="22"/>
          <w:szCs w:val="22"/>
        </w:rPr>
        <w:t xml:space="preserve">Already-scanned files are cached (by file path, size and modified time), so re-scanning a folder that only has a few new invoices added to it does not repeat the (comparatively slow) OCR step for files that have not changed.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3. Output: Excel Workbook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2E539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760"/>
            <w:shd w:fill="2E539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Invoice Number</w:t>
            </w:r>
          </w:p>
        </w:tc>
        <w:tc>
          <w:tcPr>
            <w:tcW w:type="dxa" w:w="6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Invoice number (or Bill of Entry number, prefixed “BE”, for customs documents)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File Name</w:t>
            </w:r>
          </w:p>
        </w:tc>
        <w:tc>
          <w:tcPr>
            <w:tcW w:type="dxa" w:w="676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file name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HSN/SAC Code</w:t>
            </w:r>
          </w:p>
        </w:tc>
        <w:tc>
          <w:tcPr>
            <w:tcW w:type="dxa" w:w="6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row per HSN/SAC (or CTH) code found in the invoice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Vendor Name</w:t>
            </w:r>
          </w:p>
        </w:tc>
        <w:tc>
          <w:tcPr>
            <w:tcW w:type="dxa" w:w="676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Supplier/vendor name (or foreign supplier, for a Bill of Entry)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GSTIN of Vendor</w:t>
            </w:r>
          </w:p>
        </w:tc>
        <w:tc>
          <w:tcPr>
            <w:tcW w:type="dxa" w:w="6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Vendor GSTIN (or the importer's own GSTIN, for a Bill of Entry)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Taxable Value</w:t>
            </w:r>
          </w:p>
        </w:tc>
        <w:tc>
          <w:tcPr>
            <w:tcW w:type="dxa" w:w="676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Taxable value for that HSN/SAC line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</w:t>
            </w:r>
          </w:p>
        </w:tc>
        <w:tc>
          <w:tcPr>
            <w:tcW w:type="dxa" w:w="6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CGST + SGST + IGST (or generic tax) for that line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76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/ Medium / Low - how much to trust this row without manual checking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Folder Path</w:t>
            </w:r>
          </w:p>
        </w:tc>
        <w:tc>
          <w:tcPr>
            <w:tcW w:type="dxa" w:w="6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Folder the source PDF was found in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Extraction Notes</w:t>
            </w:r>
          </w:p>
        </w:tc>
        <w:tc>
          <w:tcPr>
            <w:tcW w:type="dxa" w:w="676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Flags requiring manual review - OCR used, duplicate invoice, tax mismatch, etc.</w:t>
            </w:r>
          </w:p>
        </w:tc>
      </w:tr>
    </w:tbl>
    <w:p>
      <w:pPr>
        <w:spacing w:after="200" w:before="200"/>
      </w:pPr>
    </w:p>
    <w:p>
      <w:pPr>
        <w:spacing w:after="160" w:line="300"/>
      </w:pPr>
      <w:r>
        <w:rPr>
          <w:sz w:val="22"/>
          <w:szCs w:val="22"/>
        </w:rPr>
        <w:t xml:space="preserve">A second “Summary” sheet totals taxable value and tax by vendor and by HSN/SAC code.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4. Software Installation Required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4.1 Prerequisites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Windows 10/11 PC (the app runs locally - no data leaves the machine)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Python 3.10 or later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Tesseract OCR (open-source, from the UB Mannheim Windows build) - required only for reading scanned/photographed invoices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4.2 Python packages (installed automatically)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Flask - local web server and browser UI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pdfplumber - native PDF text and table extraction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pypdfium2 - PDF page rendering (used both by pdfplumber and directly for the OCR fallback)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pytesseract - Python interface to the Tesseract OCR engine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openpyxl - formatted Excel (.xlsx) generation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pandas - tabular data handling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4"/>
          <w:szCs w:val="24"/>
        </w:rPr>
        <w:t xml:space="preserve">4.3 Setup</w:t>
      </w:r>
    </w:p>
    <w:p>
      <w:pPr>
        <w:spacing w:after="160" w:line="300"/>
      </w:pPr>
      <w:r>
        <w:rPr>
          <w:sz w:val="22"/>
          <w:szCs w:val="22"/>
        </w:rPr>
        <w:t xml:space="preserve">Setup has been reduced to a single step: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Double-click Run App.bat in the project folder.</w:t>
      </w:r>
    </w:p>
    <w:p>
      <w:pPr>
        <w:spacing w:after="160" w:line="300"/>
      </w:pPr>
      <w:r>
        <w:rPr>
          <w:sz w:val="22"/>
          <w:szCs w:val="22"/>
        </w:rPr>
        <w:t xml:space="preserve">On first run, this automatically creates a Python virtual environment and installs every package listed above; on every run after that, it starts the application directly. The browser opens to the app automatically. Tesseract OCR (a separate, one-time system install, not a Python package) is auto-detected from its default install location.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5. Conclusion - Application to GST Refund Filing (Annexure B)</w:t>
      </w:r>
    </w:p>
    <w:p>
      <w:pPr>
        <w:spacing w:after="160" w:line="300"/>
      </w:pPr>
      <w:r>
        <w:rPr>
          <w:sz w:val="22"/>
          <w:szCs w:val="22"/>
        </w:rPr>
        <w:t xml:space="preserve">A recurring requirement in GST refund applications (for example, refund of unutilised Input Tax Credit on account of export of goods/services without payment of tax, or on account of an inverted duty structure, filed through FORM GST RFD-01) is a supporting statement of the inward supply (purchase) invoices on which credit has been availed and is being claimed as refund - commonly prepared as “Annexure B” alongside the application. This statement is typically expected to show, invoice-wise, the supplier's GSTIN and name, invoice number and date, the HSN/SAC code of the goods or services procured, and the taxable value and tax (CGST/SGST/IGST) charged on each invoice.</w:t>
      </w:r>
    </w:p>
    <w:p>
      <w:pPr>
        <w:spacing w:after="160" w:line="300"/>
      </w:pPr>
      <w:r>
        <w:rPr>
          <w:sz w:val="22"/>
          <w:szCs w:val="22"/>
        </w:rPr>
        <w:t xml:space="preserve">This is exactly the structure HSNexus produces. Rather than a practitioner manually opening every purchase invoice for the refund period - a task made significantly slower whenever a vendor has sent a scanned copy instead of a digital PDF - the tool scans the entire invoice folder for the period at once and produces a ready-made, invoice-wise / HSN-wise data sheet with exactly these fields, already split out per HSN/SAC line and traceable back to the source PDF.</w:t>
      </w:r>
    </w:p>
    <w:p>
      <w:pPr>
        <w:spacing w:after="160" w:line="300"/>
      </w:pPr>
      <w:r>
        <w:rPr>
          <w:sz w:val="22"/>
          <w:szCs w:val="22"/>
        </w:rPr>
        <w:t xml:space="preserve">In practical terms, this tool can shorten Annexure B preparation as follows: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Export directly: the Excel output's columns (Invoice Number, Vendor Name, GSTIN of Vendor, HSN/SAC Code, Taxable Value, Tax) already match the fields Annexure B typically requires, so the sheet can be reformatted into the department's prescribed template with minimal rework instead of being built from scratch.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Faster review, not blind reliance: the Confidence column and Extraction Notes tell the preparer exactly which rows were read cleanly from a native table versus which came from OCR or a best-effort text scan, so manual verification effort can be focused only on the rows that actually need it.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Fewer clerical errors: automated GSTIN checksum validation and CGST/SGST-mismatch checks catch typos and misreads that are easy to miss when re-typing figures by hand from dozens of invoices.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Duplicate detection: invoices that appear to have been counted twice (same invoice number and vendor found in more than one PDF) are flagged before they can inflate the refund claim.</w:t>
      </w:r>
    </w:p>
    <w:p>
      <w:pPr>
        <w:spacing w:after="160" w:line="300"/>
      </w:pPr>
      <w:r>
        <w:rPr>
          <w:i/>
          <w:iCs/>
          <w:sz w:val="22"/>
          <w:szCs w:val="22"/>
        </w:rPr>
        <w:t xml:space="preserve">This tool is best used as an acceleration and cross-check aid for Annexure B preparation, not as a substitute for professional judgement. The exact annexure format, and which invoices legitimately qualify for the refund claim, still require the filing CA's review - particularly for any row flagged Medium/Low Confidence, or for a Bill of Entry, where duty (BCD/IGST/CVD) is assessed once for the whole document rather than per line and must be cross-checked against the Bill of Entry's own duty summary.</w:t>
      </w:r>
    </w:p>
    <w:p>
      <w:pPr>
        <w:spacing w:after="160" w:line="300"/>
      </w:pPr>
      <w:r>
        <w:rPr>
          <w:sz w:val="22"/>
          <w:szCs w:val="22"/>
        </w:rPr>
        <w:t xml:space="preserve">Overall, HSNexus demonstrates a practical, real-world application of AI-assisted document processing (OCR plus rule-based extraction) to a genuine compliance workflow in GST practice, meaningfully cutting down the manual effort involved in preparing invoice-wise supporting statements such as Annexure B.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HSNexus – GST Invoice Extractor | AICA Level 2, Batch 81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2026-09-12T16:33:54.840Z</dcterms:created>
  <dcterms:modified xsi:type="dcterms:W3CDTF">2026-09-12T16:33:54.840Z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