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Date: 14/08/2026</w:t>
      </w:r>
    </w:p>
    <w:p>
      <w:pPr>
        <w:spacing w:after="0"/>
      </w:pPr>
    </w:p>
    <w:p>
      <w:pPr>
        <w:spacing w:after="0"/>
      </w:pPr>
      <w:r>
        <w:t>To</w:t>
      </w:r>
    </w:p>
    <w:p>
      <w:pPr>
        <w:spacing w:after="0"/>
      </w:pPr>
      <w:r>
        <w:t>M/s. Sowmya G &amp; Associates</w:t>
      </w:r>
    </w:p>
    <w:p>
      <w:pPr>
        <w:spacing w:after="0"/>
      </w:pPr>
      <w:r>
        <w:t>CA. Sowmya G</w:t>
      </w:r>
    </w:p>
    <w:p>
      <w:pPr>
        <w:spacing w:after="0"/>
      </w:pPr>
      <w:r>
        <w:t>Chartered Accountants</w:t>
      </w:r>
    </w:p>
    <w:p>
      <w:pPr>
        <w:spacing w:after="0"/>
      </w:pPr>
      <w:r>
        <w:t>Office address line 1,</w:t>
      </w:r>
    </w:p>
    <w:p>
      <w:pPr>
        <w:spacing w:after="0"/>
      </w:pPr>
      <w:r>
        <w:t>Madurai - 6250XX.</w:t>
      </w:r>
    </w:p>
    <w:p>
      <w:pPr>
        <w:spacing w:after="0"/>
      </w:pPr>
    </w:p>
    <w:p>
      <w:pPr>
        <w:jc w:val="both"/>
      </w:pPr>
      <w:r>
        <w:t>Dear Madam,</w:t>
      </w:r>
    </w:p>
    <w:p>
      <w:pPr>
        <w:jc w:val="both"/>
      </w:pPr>
      <w:r>
        <w:t>In connection with the finalisation of the audit of our accounts for the period ended 31st March 2026, we are enclosing a “Management Representation Letter” on the various queries raised by you during the course of the audit.</w:t>
      </w:r>
    </w:p>
    <w:p>
      <w:pPr>
        <w:jc w:val="both"/>
      </w:pPr>
      <w:r>
        <w:t>Thanking You,</w:t>
      </w:r>
    </w:p>
    <w:p>
      <w:pPr>
        <w:jc w:val="both"/>
      </w:pPr>
      <w:r>
        <w:t>Yours faithfully,</w:t>
      </w:r>
    </w:p>
    <w:p>
      <w:pPr>
        <w:spacing w:after="0"/>
      </w:pPr>
      <w:r>
        <w:t>For MEENAKSHI TEXTILE TRADERS PRIVATE LIMITED</w:t>
      </w:r>
    </w:p>
    <w:p>
      <w:pPr>
        <w:spacing w:after="0"/>
      </w:pPr>
    </w:p>
    <w:tbl>
      <w:tblPr>
        <w:tblW w:type="auto" w:w="0"/>
        <w:tblLook w:firstColumn="1" w:firstRow="1" w:lastColumn="0" w:lastRow="0" w:noHBand="0" w:noVBand="1" w:val="04A0"/>
      </w:tblPr>
      <w:tblGrid>
        <w:gridCol w:w="4658"/>
        <w:gridCol w:w="4658"/>
      </w:tblGrid>
      <w:tr>
        <w:tc>
          <w:tcPr>
            <w:tcW w:type="dxa" w:w="4658"/>
          </w:tcPr>
          <w:p>
            <w:pPr>
              <w:spacing w:after="0"/>
            </w:pPr>
            <w:r/>
          </w:p>
          <w:p>
            <w:pPr>
              <w:spacing w:after="0"/>
            </w:pPr>
          </w:p>
          <w:p>
            <w:pPr>
              <w:spacing w:after="0"/>
            </w:pPr>
            <w:r>
              <w:t>KARTHIK SUNDARAM</w:t>
            </w:r>
          </w:p>
          <w:p>
            <w:pPr>
              <w:spacing w:after="0"/>
            </w:pPr>
            <w:r>
              <w:t>Director</w:t>
            </w:r>
          </w:p>
          <w:p>
            <w:pPr>
              <w:spacing w:after="0"/>
            </w:pPr>
            <w:r>
              <w:t>DIN: 01234567</w:t>
            </w:r>
          </w:p>
        </w:tc>
        <w:tc>
          <w:tcPr>
            <w:tcW w:type="dxa" w:w="4658"/>
          </w:tcPr>
          <w:p>
            <w:pPr>
              <w:spacing w:after="0"/>
            </w:pPr>
            <w:r/>
          </w:p>
          <w:p>
            <w:pPr>
              <w:spacing w:after="0"/>
            </w:pPr>
          </w:p>
          <w:p>
            <w:pPr>
              <w:spacing w:after="0"/>
            </w:pPr>
            <w:r>
              <w:t>VALLIAMMAI RAMANATHAN</w:t>
            </w:r>
          </w:p>
          <w:p>
            <w:pPr>
              <w:spacing w:after="0"/>
            </w:pPr>
            <w:r>
              <w:t>Managing Director</w:t>
            </w:r>
          </w:p>
          <w:p>
            <w:pPr>
              <w:spacing w:after="0"/>
            </w:pPr>
            <w:r>
              <w:t>DIN: 07654321</w:t>
            </w:r>
          </w:p>
        </w:tc>
      </w:tr>
    </w:tbl>
    <w:p/>
    <w:p>
      <w:r>
        <w:br w:type="page"/>
      </w:r>
    </w:p>
    <w:p>
      <w:pPr>
        <w:spacing w:after="0"/>
        <w:jc w:val="right"/>
      </w:pPr>
      <w:r>
        <w:t>Date: 14/08/2026</w:t>
      </w:r>
    </w:p>
    <w:p>
      <w:pPr>
        <w:spacing w:after="0"/>
      </w:pPr>
    </w:p>
    <w:p>
      <w:pPr>
        <w:spacing w:after="0"/>
      </w:pPr>
      <w:r>
        <w:t>To</w:t>
      </w:r>
    </w:p>
    <w:p>
      <w:pPr>
        <w:spacing w:after="0"/>
      </w:pPr>
      <w:r>
        <w:t>M/s. Sowmya G &amp; Associates</w:t>
      </w:r>
    </w:p>
    <w:p>
      <w:pPr>
        <w:spacing w:after="0"/>
      </w:pPr>
      <w:r>
        <w:t>CA. Sowmya G</w:t>
      </w:r>
    </w:p>
    <w:p>
      <w:pPr>
        <w:spacing w:after="0"/>
      </w:pPr>
      <w:r>
        <w:t>Chartered Accountants</w:t>
      </w:r>
    </w:p>
    <w:p>
      <w:pPr>
        <w:spacing w:after="0"/>
      </w:pPr>
      <w:r>
        <w:t>Office address line 1,</w:t>
      </w:r>
    </w:p>
    <w:p>
      <w:pPr>
        <w:spacing w:after="0"/>
      </w:pPr>
      <w:r>
        <w:t>Madurai - 6250XX.</w:t>
      </w:r>
    </w:p>
    <w:p>
      <w:pPr>
        <w:spacing w:after="0"/>
      </w:pPr>
    </w:p>
    <w:p>
      <w:pPr>
        <w:jc w:val="both"/>
      </w:pPr>
      <w:r>
        <w:rPr>
          <w:b/>
        </w:rPr>
        <w:t xml:space="preserve">Sub: </w:t>
      </w:r>
      <w:r>
        <w:t>Management Representation Letter for the year ended 31st March 2026</w:t>
      </w:r>
    </w:p>
    <w:p>
      <w:pPr>
        <w:jc w:val="both"/>
      </w:pPr>
      <w:r>
        <w:t>Dear Madam,</w:t>
      </w:r>
    </w:p>
    <w:p>
      <w:pPr>
        <w:jc w:val="both"/>
      </w:pPr>
      <w:r>
        <w:t>This representation letter is provided in connection with your audit of the financial statements of MEENAKSHI TEXTILE TRADERS PRIVATE LIMITED for the year ended 31st March 2026 for the purpose of expressing an opinion as to whether the financial statements give a true and fair view in accordance with the Accounting Standards specified under section 133 of the Companies Act, 2013 and other accounting principles generally accepted in India.</w:t>
      </w:r>
    </w:p>
    <w:p>
      <w:pPr>
        <w:jc w:val="both"/>
      </w:pPr>
      <w:r>
        <w:t>We confirm that, to the best of our knowledge and belief, having made such inquiries as we considered necessary for the purpose of appropriately informing ourselves:</w:t>
      </w:r>
    </w:p>
    <w:p>
      <w:pPr>
        <w:keepNext/>
        <w:spacing w:before="120"/>
      </w:pPr>
      <w:r>
        <w:rPr>
          <w:b/>
          <w:u w:val="none"/>
        </w:rPr>
        <w:t>Financial Statements</w:t>
      </w:r>
    </w:p>
    <w:p>
      <w:pPr>
        <w:tabs>
          <w:tab w:pos="648" w:val="left"/>
        </w:tabs>
        <w:ind w:left="648" w:hanging="648"/>
        <w:jc w:val="both"/>
      </w:pPr>
      <w:r>
        <w:t>1.</w:t>
        <w:tab/>
        <w:t>We have fulfilled our responsibilities for the preparation and presentation of the financial statements as set out in the terms of the audit engagement dated 11/08/2026; in particular, the financial statements give a true and fair view in accordance with the applicable Accounting Standards in India.</w:t>
      </w:r>
    </w:p>
    <w:p>
      <w:pPr>
        <w:tabs>
          <w:tab w:pos="648" w:val="left"/>
        </w:tabs>
        <w:ind w:left="648" w:hanging="648"/>
        <w:jc w:val="both"/>
      </w:pPr>
      <w:r>
        <w:t>2.</w:t>
        <w:tab/>
        <w:t>Significant assumptions used by us in making accounting estimates are reasonable.</w:t>
      </w:r>
    </w:p>
    <w:p>
      <w:pPr>
        <w:tabs>
          <w:tab w:pos="648" w:val="left"/>
        </w:tabs>
        <w:ind w:left="648" w:hanging="648"/>
        <w:jc w:val="both"/>
      </w:pPr>
      <w:r>
        <w:t>3.</w:t>
        <w:tab/>
        <w:t>All events subsequent to the date of the financial statements and for which the applicable Accounting Standards require adjustment or disclosure have been adjusted or disclosed.</w:t>
      </w:r>
    </w:p>
    <w:p>
      <w:pPr>
        <w:tabs>
          <w:tab w:pos="648" w:val="left"/>
        </w:tabs>
        <w:ind w:left="648" w:hanging="648"/>
        <w:jc w:val="both"/>
      </w:pPr>
      <w:r>
        <w:t>4.</w:t>
        <w:tab/>
        <w:t>The effects of uncorrected misstatements are immaterial, both individually and in the aggregate, to the financial statements as a whole.</w:t>
      </w:r>
    </w:p>
    <w:p>
      <w:pPr>
        <w:jc w:val="both"/>
      </w:pPr>
      <w:r>
        <w:t>Further, we confirm the following:</w:t>
      </w:r>
    </w:p>
    <w:p>
      <w:pPr>
        <w:keepNext/>
        <w:spacing w:before="120"/>
      </w:pPr>
      <w:r>
        <w:rPr>
          <w:b/>
          <w:u w:val="none"/>
        </w:rPr>
        <w:t>Property, Plant &amp; Equipment</w:t>
      </w:r>
    </w:p>
    <w:p>
      <w:pPr>
        <w:tabs>
          <w:tab w:pos="648" w:val="left"/>
        </w:tabs>
        <w:ind w:left="648" w:hanging="648"/>
        <w:jc w:val="both"/>
      </w:pPr>
      <w:r>
        <w:t>5.</w:t>
        <w:tab/>
        <w:t>The net book values at which fixed assets are stated in the Balance Sheet are arrived at:</w:t>
      </w:r>
    </w:p>
    <w:p>
      <w:pPr>
        <w:tabs>
          <w:tab w:pos="1296" w:val="left"/>
        </w:tabs>
        <w:ind w:left="1296" w:hanging="648"/>
        <w:jc w:val="both"/>
      </w:pPr>
      <w:r>
        <w:t>(a)</w:t>
        <w:tab/>
        <w:t>after taking into account all capital expenditure on additions thereto, but no expenditure properly chargeable to revenue;</w:t>
      </w:r>
    </w:p>
    <w:p>
      <w:pPr>
        <w:tabs>
          <w:tab w:pos="1296" w:val="left"/>
        </w:tabs>
        <w:ind w:left="1296" w:hanging="648"/>
        <w:jc w:val="both"/>
      </w:pPr>
      <w:r>
        <w:t>(b)</w:t>
        <w:tab/>
        <w:t>after eliminating the cost and accumulated depreciation related to items sold, discarded, demolished or destroyed; and</w:t>
      </w:r>
    </w:p>
    <w:p>
      <w:pPr>
        <w:tabs>
          <w:tab w:pos="1296" w:val="left"/>
        </w:tabs>
        <w:ind w:left="1296" w:hanging="648"/>
        <w:jc w:val="both"/>
      </w:pPr>
      <w:r>
        <w:t>(c)</w:t>
        <w:tab/>
        <w:t>after charging depreciation on assets put to use during the financial period.</w:t>
      </w:r>
    </w:p>
    <w:p>
      <w:pPr>
        <w:tabs>
          <w:tab w:pos="648" w:val="left"/>
        </w:tabs>
        <w:ind w:left="648" w:hanging="648"/>
        <w:jc w:val="both"/>
      </w:pPr>
      <w:r>
        <w:t>6.</w:t>
        <w:tab/>
        <w:t xml:space="preserve">Depreciation amounting to Rs. </w:t>
      </w:r>
      <w:r>
        <w:rPr>
          <w:highlight w:val="yellow"/>
        </w:rPr>
        <w:t>________</w:t>
      </w:r>
      <w:r>
        <w:t>/- has been determined on the basis of assessment of the remaining useful life of the fixed assets as per Schedule II of the Companies Act, 2013.</w:t>
      </w:r>
    </w:p>
    <w:p>
      <w:pPr>
        <w:tabs>
          <w:tab w:pos="648" w:val="left"/>
        </w:tabs>
        <w:ind w:left="648" w:hanging="648"/>
        <w:jc w:val="both"/>
      </w:pPr>
      <w:r>
        <w:t>7.</w:t>
        <w:tab/>
        <w:t>The management has physically verified the fixed assets during the year.</w:t>
      </w:r>
    </w:p>
    <w:p>
      <w:pPr>
        <w:tabs>
          <w:tab w:pos="648" w:val="left"/>
        </w:tabs>
        <w:ind w:left="648" w:hanging="648"/>
        <w:jc w:val="both"/>
      </w:pPr>
      <w:r>
        <w:t>8.</w:t>
        <w:tab/>
        <w:t>None of the Property, Plant and Equipment have been revalued during the year.</w:t>
      </w:r>
    </w:p>
    <w:p>
      <w:pPr>
        <w:tabs>
          <w:tab w:pos="648" w:val="left"/>
        </w:tabs>
        <w:ind w:left="648" w:hanging="648"/>
        <w:jc w:val="both"/>
      </w:pPr>
      <w:r>
        <w:t>9.</w:t>
        <w:tab/>
        <w:t>All the immovable properties in the financial statements are held in the name of the company.</w:t>
      </w:r>
    </w:p>
    <w:p>
      <w:pPr>
        <w:tabs>
          <w:tab w:pos="648" w:val="left"/>
        </w:tabs>
        <w:ind w:left="648" w:hanging="648"/>
        <w:jc w:val="both"/>
      </w:pPr>
      <w:r>
        <w:t>10.</w:t>
        <w:tab/>
        <w:t>No proceedings have been initiated or are pending against the company for holding any benami property under the Prohibition of Benami Property Transactions Act, 1988.</w:t>
      </w:r>
    </w:p>
    <w:p>
      <w:pPr>
        <w:tabs>
          <w:tab w:pos="648" w:val="left"/>
        </w:tabs>
        <w:ind w:left="648" w:hanging="648"/>
        <w:jc w:val="both"/>
      </w:pPr>
      <w:r>
        <w:t>11.</w:t>
        <w:tab/>
        <w:t xml:space="preserve">We have received a capital subsidy of Rs. </w:t>
      </w:r>
      <w:r>
        <w:rPr>
          <w:highlight w:val="yellow"/>
        </w:rPr>
        <w:t>________</w:t>
      </w:r>
      <w:r>
        <w:t xml:space="preserve">/-. This has been reduced from the fixed assets and depreciation is calculated on the net amount. </w:t>
      </w:r>
      <w:r>
        <w:rPr>
          <w:highlight w:val="yellow"/>
        </w:rPr>
        <w:t>[Delete if not applicable]</w:t>
      </w:r>
    </w:p>
    <w:p>
      <w:pPr>
        <w:keepNext/>
        <w:spacing w:before="120"/>
      </w:pPr>
      <w:r>
        <w:rPr>
          <w:b/>
          <w:u w:val="none"/>
        </w:rPr>
        <w:t>Investments</w:t>
      </w:r>
    </w:p>
    <w:p>
      <w:pPr>
        <w:tabs>
          <w:tab w:pos="648" w:val="left"/>
        </w:tabs>
        <w:ind w:left="648" w:hanging="648"/>
        <w:jc w:val="both"/>
      </w:pPr>
      <w:r>
        <w:t>12.</w:t>
        <w:tab/>
        <w:t>The company does not have / hold any investments.</w:t>
      </w:r>
    </w:p>
    <w:p>
      <w:pPr>
        <w:keepNext/>
        <w:spacing w:before="120"/>
      </w:pPr>
      <w:r>
        <w:rPr>
          <w:b/>
          <w:u w:val="none"/>
        </w:rPr>
        <w:t>Long-Term Loans and Advances</w:t>
      </w:r>
    </w:p>
    <w:p>
      <w:pPr>
        <w:tabs>
          <w:tab w:pos="648" w:val="left"/>
        </w:tabs>
        <w:ind w:left="648" w:hanging="648"/>
        <w:jc w:val="both"/>
      </w:pPr>
      <w:r>
        <w:t>13.</w:t>
        <w:tab/>
        <w:t>There are no long-term loans and advances in the books.</w:t>
      </w:r>
    </w:p>
    <w:p>
      <w:pPr>
        <w:keepNext/>
        <w:spacing w:before="120"/>
      </w:pPr>
      <w:r>
        <w:rPr>
          <w:b/>
          <w:u w:val="none"/>
        </w:rPr>
        <w:t>Other Non-Current Assets</w:t>
      </w:r>
    </w:p>
    <w:p>
      <w:pPr>
        <w:tabs>
          <w:tab w:pos="648" w:val="left"/>
        </w:tabs>
        <w:ind w:left="648" w:hanging="648"/>
        <w:jc w:val="both"/>
      </w:pPr>
      <w:r>
        <w:t>14.</w:t>
        <w:tab/>
        <w:t>Details of balances with banks in Fixed Deposits:</w:t>
      </w:r>
    </w:p>
    <w:tbl>
      <w:tblPr>
        <w:tblStyle w:val="TableGrid"/>
        <w:tblW w:type="auto" w:w="0"/>
        <w:tblLook w:firstColumn="1" w:firstRow="1" w:lastColumn="0" w:lastRow="0" w:noHBand="0" w:noVBand="1" w:val="04A0"/>
        <w:tblInd w:w="648" w:type="dxa"/>
      </w:tblPr>
      <w:tblGrid>
        <w:gridCol w:w="4176"/>
        <w:gridCol w:w="2592"/>
        <w:gridCol w:w="1872"/>
      </w:tblGrid>
      <w:tr>
        <w:trPr>
          <w:trHeight w:val="360"/>
        </w:trPr>
        <w:tc>
          <w:tcPr>
            <w:tcW w:type="dxa" w:w="4176"/>
          </w:tcPr>
          <w:p>
            <w:pPr>
              <w:spacing w:after="0"/>
            </w:pPr>
            <w:r>
              <w:rPr>
                <w:b/>
                <w:sz w:val="19"/>
              </w:rPr>
              <w:t>Bank &amp; A/c No.</w:t>
            </w:r>
          </w:p>
        </w:tc>
        <w:tc>
          <w:tcPr>
            <w:tcW w:type="dxa" w:w="2592"/>
          </w:tcPr>
          <w:p>
            <w:pPr>
              <w:spacing w:after="0"/>
            </w:pPr>
            <w:r>
              <w:rPr>
                <w:b/>
                <w:sz w:val="19"/>
              </w:rPr>
              <w:t>Balance as on 31.03.2026 (Rs.)</w:t>
            </w:r>
          </w:p>
        </w:tc>
        <w:tc>
          <w:tcPr>
            <w:tcW w:type="dxa" w:w="1872"/>
          </w:tcPr>
          <w:p>
            <w:pPr>
              <w:spacing w:after="0"/>
            </w:pPr>
            <w:r>
              <w:rPr>
                <w:b/>
                <w:sz w:val="19"/>
              </w:rPr>
              <w:t>Maturity Date</w:t>
            </w:r>
          </w:p>
        </w:tc>
      </w:tr>
      <w:tr>
        <w:trPr>
          <w:trHeight w:val="360"/>
        </w:trPr>
        <w:tc>
          <w:tcPr>
            <w:tcW w:type="dxa" w:w="4176"/>
          </w:tcPr>
          <w:p>
            <w:pPr>
              <w:spacing w:after="0"/>
            </w:pPr>
          </w:p>
        </w:tc>
        <w:tc>
          <w:tcPr>
            <w:tcW w:type="dxa" w:w="2592"/>
          </w:tcPr>
          <w:p>
            <w:pPr>
              <w:spacing w:after="0"/>
            </w:pPr>
          </w:p>
        </w:tc>
        <w:tc>
          <w:tcPr>
            <w:tcW w:type="dxa" w:w="1872"/>
          </w:tcPr>
          <w:p>
            <w:pPr>
              <w:spacing w:after="0"/>
            </w:pPr>
          </w:p>
        </w:tc>
      </w:tr>
      <w:tr>
        <w:trPr>
          <w:trHeight w:val="360"/>
        </w:trPr>
        <w:tc>
          <w:tcPr>
            <w:tcW w:type="dxa" w:w="4176"/>
          </w:tcPr>
          <w:p>
            <w:pPr>
              <w:spacing w:after="0"/>
            </w:pPr>
          </w:p>
        </w:tc>
        <w:tc>
          <w:tcPr>
            <w:tcW w:type="dxa" w:w="2592"/>
          </w:tcPr>
          <w:p>
            <w:pPr>
              <w:spacing w:after="0"/>
            </w:pPr>
          </w:p>
        </w:tc>
        <w:tc>
          <w:tcPr>
            <w:tcW w:type="dxa" w:w="1872"/>
          </w:tcPr>
          <w:p>
            <w:pPr>
              <w:spacing w:after="0"/>
            </w:pPr>
          </w:p>
        </w:tc>
      </w:tr>
    </w:tbl>
    <w:p>
      <w:pPr>
        <w:spacing w:after="0"/>
      </w:pPr>
    </w:p>
    <w:p>
      <w:pPr>
        <w:keepNext/>
        <w:spacing w:before="120"/>
      </w:pPr>
      <w:r>
        <w:rPr>
          <w:b/>
          <w:u w:val="none"/>
        </w:rPr>
        <w:t>Inventories</w:t>
      </w:r>
    </w:p>
    <w:p>
      <w:pPr>
        <w:tabs>
          <w:tab w:pos="648" w:val="left"/>
        </w:tabs>
        <w:ind w:left="648" w:hanging="648"/>
        <w:jc w:val="both"/>
      </w:pPr>
      <w:r>
        <w:t>15.</w:t>
        <w:tab/>
        <w:t>Inventories as on 31st March 2026 consisted of the following:</w:t>
      </w:r>
    </w:p>
    <w:tbl>
      <w:tblPr>
        <w:tblStyle w:val="TableGrid"/>
        <w:tblW w:type="auto" w:w="0"/>
        <w:tblLook w:firstColumn="1" w:firstRow="1" w:lastColumn="0" w:lastRow="0" w:noHBand="0" w:noVBand="1" w:val="04A0"/>
        <w:tblInd w:w="648" w:type="dxa"/>
      </w:tblPr>
      <w:tblGrid>
        <w:gridCol w:w="4896"/>
        <w:gridCol w:w="2880"/>
      </w:tblGrid>
      <w:tr>
        <w:trPr>
          <w:trHeight w:val="360"/>
        </w:trPr>
        <w:tc>
          <w:tcPr>
            <w:tcW w:type="dxa" w:w="4896"/>
          </w:tcPr>
          <w:p>
            <w:pPr>
              <w:spacing w:after="0"/>
            </w:pPr>
            <w:r>
              <w:rPr>
                <w:b/>
                <w:sz w:val="19"/>
              </w:rPr>
              <w:t>Particulars</w:t>
            </w:r>
          </w:p>
        </w:tc>
        <w:tc>
          <w:tcPr>
            <w:tcW w:type="dxa" w:w="2880"/>
          </w:tcPr>
          <w:p>
            <w:pPr>
              <w:spacing w:after="0"/>
            </w:pPr>
            <w:r>
              <w:rPr>
                <w:b/>
                <w:sz w:val="19"/>
              </w:rPr>
              <w:t>Amount (Rs.)</w:t>
            </w:r>
          </w:p>
        </w:tc>
      </w:tr>
      <w:tr>
        <w:trPr>
          <w:trHeight w:val="360"/>
        </w:trPr>
        <w:tc>
          <w:tcPr>
            <w:tcW w:type="dxa" w:w="4896"/>
          </w:tcPr>
          <w:p>
            <w:pPr>
              <w:spacing w:after="0"/>
            </w:pPr>
            <w:r>
              <w:rPr>
                <w:sz w:val="19"/>
              </w:rPr>
              <w:t>Raw Materials</w:t>
            </w:r>
          </w:p>
        </w:tc>
        <w:tc>
          <w:tcPr>
            <w:tcW w:type="dxa" w:w="2880"/>
          </w:tcPr>
          <w:p>
            <w:pPr>
              <w:spacing w:after="0"/>
            </w:pPr>
          </w:p>
        </w:tc>
      </w:tr>
      <w:tr>
        <w:trPr>
          <w:trHeight w:val="360"/>
        </w:trPr>
        <w:tc>
          <w:tcPr>
            <w:tcW w:type="dxa" w:w="4896"/>
          </w:tcPr>
          <w:p>
            <w:pPr>
              <w:spacing w:after="0"/>
            </w:pPr>
            <w:r>
              <w:rPr>
                <w:sz w:val="19"/>
              </w:rPr>
              <w:t>Work-in-Progress</w:t>
            </w:r>
          </w:p>
        </w:tc>
        <w:tc>
          <w:tcPr>
            <w:tcW w:type="dxa" w:w="2880"/>
          </w:tcPr>
          <w:p>
            <w:pPr>
              <w:spacing w:after="0"/>
            </w:pPr>
          </w:p>
        </w:tc>
      </w:tr>
      <w:tr>
        <w:trPr>
          <w:trHeight w:val="360"/>
        </w:trPr>
        <w:tc>
          <w:tcPr>
            <w:tcW w:type="dxa" w:w="4896"/>
          </w:tcPr>
          <w:p>
            <w:pPr>
              <w:spacing w:after="0"/>
            </w:pPr>
            <w:r>
              <w:rPr>
                <w:sz w:val="19"/>
              </w:rPr>
              <w:t>Finished Goods</w:t>
            </w:r>
          </w:p>
        </w:tc>
        <w:tc>
          <w:tcPr>
            <w:tcW w:type="dxa" w:w="2880"/>
          </w:tcPr>
          <w:p>
            <w:pPr>
              <w:spacing w:after="0"/>
            </w:pPr>
          </w:p>
        </w:tc>
      </w:tr>
      <w:tr>
        <w:trPr>
          <w:trHeight w:val="360"/>
        </w:trPr>
        <w:tc>
          <w:tcPr>
            <w:tcW w:type="dxa" w:w="4896"/>
          </w:tcPr>
          <w:p>
            <w:pPr>
              <w:spacing w:after="0"/>
            </w:pPr>
            <w:r>
              <w:rPr>
                <w:sz w:val="19"/>
              </w:rPr>
              <w:t>Tools &amp; Spares</w:t>
            </w:r>
          </w:p>
        </w:tc>
        <w:tc>
          <w:tcPr>
            <w:tcW w:type="dxa" w:w="2880"/>
          </w:tcPr>
          <w:p>
            <w:pPr>
              <w:spacing w:after="0"/>
            </w:pPr>
          </w:p>
        </w:tc>
      </w:tr>
    </w:tbl>
    <w:p>
      <w:pPr>
        <w:spacing w:after="0"/>
      </w:pPr>
    </w:p>
    <w:p>
      <w:pPr>
        <w:tabs>
          <w:tab w:pos="648" w:val="left"/>
        </w:tabs>
        <w:ind w:left="648" w:hanging="648"/>
        <w:jc w:val="both"/>
      </w:pPr>
      <w:r>
        <w:t>16.</w:t>
        <w:tab/>
        <w:t>All quantities were determined by actual physical count, weight or measurement taken under our supervision and in accordance with written instructions as on 31.03.2026.</w:t>
      </w:r>
    </w:p>
    <w:p>
      <w:pPr>
        <w:tabs>
          <w:tab w:pos="648" w:val="left"/>
        </w:tabs>
        <w:ind w:left="648" w:hanging="648"/>
        <w:jc w:val="both"/>
      </w:pPr>
      <w:r>
        <w:t>17.</w:t>
        <w:tab/>
        <w:t>Inventories were physically verified at periodical intervals during the year.</w:t>
      </w:r>
    </w:p>
    <w:p>
      <w:pPr>
        <w:tabs>
          <w:tab w:pos="648" w:val="left"/>
        </w:tabs>
        <w:ind w:left="648" w:hanging="648"/>
        <w:jc w:val="both"/>
      </w:pPr>
      <w:r>
        <w:t>18.</w:t>
        <w:tab/>
        <w:t>All goods included in the inventory are the property of the company; none of the goods are subject to any charge except as stated in the financial statements.</w:t>
      </w:r>
    </w:p>
    <w:p>
      <w:pPr>
        <w:tabs>
          <w:tab w:pos="648" w:val="left"/>
        </w:tabs>
        <w:ind w:left="648" w:hanging="648"/>
        <w:jc w:val="both"/>
      </w:pPr>
      <w:r>
        <w:t>19.</w:t>
        <w:tab/>
        <w:t>Inventories do not include goods sold to customers for which delivery is yet to be made.</w:t>
      </w:r>
    </w:p>
    <w:p>
      <w:pPr>
        <w:tabs>
          <w:tab w:pos="648" w:val="left"/>
        </w:tabs>
        <w:ind w:left="648" w:hanging="648"/>
        <w:jc w:val="both"/>
      </w:pPr>
      <w:r>
        <w:t>20.</w:t>
        <w:tab/>
        <w:t>Inventories have been valued on the following basis:</w:t>
      </w:r>
    </w:p>
    <w:tbl>
      <w:tblPr>
        <w:tblStyle w:val="TableGrid"/>
        <w:tblW w:type="auto" w:w="0"/>
        <w:tblLook w:firstColumn="1" w:firstRow="1" w:lastColumn="0" w:lastRow="0" w:noHBand="0" w:noVBand="1" w:val="04A0"/>
        <w:tblInd w:w="648" w:type="dxa"/>
      </w:tblPr>
      <w:tblGrid>
        <w:gridCol w:w="2592"/>
        <w:gridCol w:w="5184"/>
      </w:tblGrid>
      <w:tr>
        <w:trPr>
          <w:trHeight w:val="360"/>
        </w:trPr>
        <w:tc>
          <w:tcPr>
            <w:tcW w:type="dxa" w:w="2592"/>
          </w:tcPr>
          <w:p>
            <w:pPr>
              <w:spacing w:after="0"/>
            </w:pPr>
            <w:r>
              <w:rPr>
                <w:b/>
                <w:sz w:val="19"/>
              </w:rPr>
              <w:t>Item</w:t>
            </w:r>
          </w:p>
        </w:tc>
        <w:tc>
          <w:tcPr>
            <w:tcW w:type="dxa" w:w="5184"/>
          </w:tcPr>
          <w:p>
            <w:pPr>
              <w:spacing w:after="0"/>
            </w:pPr>
            <w:r>
              <w:rPr>
                <w:b/>
                <w:sz w:val="19"/>
              </w:rPr>
              <w:t>Basis of valuation</w:t>
            </w:r>
          </w:p>
        </w:tc>
      </w:tr>
      <w:tr>
        <w:trPr>
          <w:trHeight w:val="360"/>
        </w:trPr>
        <w:tc>
          <w:tcPr>
            <w:tcW w:type="dxa" w:w="2592"/>
          </w:tcPr>
          <w:p>
            <w:pPr>
              <w:spacing w:after="0"/>
            </w:pPr>
            <w:r>
              <w:rPr>
                <w:sz w:val="19"/>
              </w:rPr>
              <w:t>Raw Materials</w:t>
            </w:r>
          </w:p>
        </w:tc>
        <w:tc>
          <w:tcPr>
            <w:tcW w:type="dxa" w:w="5184"/>
          </w:tcPr>
          <w:p>
            <w:pPr>
              <w:spacing w:after="0"/>
            </w:pPr>
            <w:r>
              <w:rPr>
                <w:sz w:val="19"/>
              </w:rPr>
              <w:t>At cost on FIFO basis or NRV, whichever is lower</w:t>
            </w:r>
          </w:p>
        </w:tc>
      </w:tr>
      <w:tr>
        <w:trPr>
          <w:trHeight w:val="360"/>
        </w:trPr>
        <w:tc>
          <w:tcPr>
            <w:tcW w:type="dxa" w:w="2592"/>
          </w:tcPr>
          <w:p>
            <w:pPr>
              <w:spacing w:after="0"/>
            </w:pPr>
            <w:r>
              <w:rPr>
                <w:sz w:val="19"/>
              </w:rPr>
              <w:t>Work-in-Progress</w:t>
            </w:r>
          </w:p>
        </w:tc>
        <w:tc>
          <w:tcPr>
            <w:tcW w:type="dxa" w:w="5184"/>
          </w:tcPr>
          <w:p>
            <w:pPr>
              <w:spacing w:after="0"/>
            </w:pPr>
            <w:r>
              <w:rPr>
                <w:sz w:val="19"/>
              </w:rPr>
              <w:t>At cost</w:t>
            </w:r>
          </w:p>
        </w:tc>
      </w:tr>
      <w:tr>
        <w:trPr>
          <w:trHeight w:val="360"/>
        </w:trPr>
        <w:tc>
          <w:tcPr>
            <w:tcW w:type="dxa" w:w="2592"/>
          </w:tcPr>
          <w:p>
            <w:pPr>
              <w:spacing w:after="0"/>
            </w:pPr>
            <w:r>
              <w:rPr>
                <w:sz w:val="19"/>
              </w:rPr>
              <w:t>Finished Goods</w:t>
            </w:r>
          </w:p>
        </w:tc>
        <w:tc>
          <w:tcPr>
            <w:tcW w:type="dxa" w:w="5184"/>
          </w:tcPr>
          <w:p>
            <w:pPr>
              <w:spacing w:after="0"/>
            </w:pPr>
            <w:r>
              <w:rPr>
                <w:sz w:val="19"/>
              </w:rPr>
              <w:t>At cost or NRV, whichever is lower</w:t>
            </w:r>
          </w:p>
        </w:tc>
      </w:tr>
      <w:tr>
        <w:trPr>
          <w:trHeight w:val="360"/>
        </w:trPr>
        <w:tc>
          <w:tcPr>
            <w:tcW w:type="dxa" w:w="2592"/>
          </w:tcPr>
          <w:p>
            <w:pPr>
              <w:spacing w:after="0"/>
            </w:pPr>
            <w:r>
              <w:rPr>
                <w:sz w:val="19"/>
              </w:rPr>
              <w:t>Tools &amp; Spares</w:t>
            </w:r>
          </w:p>
        </w:tc>
        <w:tc>
          <w:tcPr>
            <w:tcW w:type="dxa" w:w="5184"/>
          </w:tcPr>
          <w:p>
            <w:pPr>
              <w:spacing w:after="0"/>
            </w:pPr>
            <w:r>
              <w:rPr>
                <w:sz w:val="19"/>
              </w:rPr>
              <w:t>One-third written off to revenue</w:t>
            </w:r>
          </w:p>
        </w:tc>
      </w:tr>
    </w:tbl>
    <w:p>
      <w:pPr>
        <w:spacing w:after="0"/>
      </w:pPr>
    </w:p>
    <w:p>
      <w:pPr>
        <w:tabs>
          <w:tab w:pos="648" w:val="left"/>
        </w:tabs>
        <w:ind w:left="648" w:hanging="648"/>
        <w:jc w:val="both"/>
      </w:pPr>
      <w:r>
        <w:t>21.</w:t>
        <w:tab/>
        <w:t>No item of inventory has a net realisable value in the ordinary course of business which is less than the amount at which it is included in inventories.</w:t>
      </w:r>
    </w:p>
    <w:p>
      <w:pPr>
        <w:tabs>
          <w:tab w:pos="648" w:val="left"/>
        </w:tabs>
        <w:ind w:left="648" w:hanging="648"/>
        <w:jc w:val="both"/>
      </w:pPr>
      <w:r>
        <w:t>22.</w:t>
        <w:tab/>
        <w:t>No provisions are required at this stage for slow-moving, damaged or obsolete inventories.</w:t>
      </w:r>
    </w:p>
    <w:p>
      <w:pPr>
        <w:keepNext/>
        <w:spacing w:before="120"/>
      </w:pPr>
      <w:r>
        <w:rPr>
          <w:b/>
          <w:u w:val="none"/>
        </w:rPr>
        <w:t>Trade Receivables</w:t>
      </w:r>
    </w:p>
    <w:p>
      <w:pPr>
        <w:tabs>
          <w:tab w:pos="648" w:val="left"/>
        </w:tabs>
        <w:ind w:left="648" w:hanging="648"/>
        <w:jc w:val="both"/>
      </w:pPr>
      <w:r>
        <w:t>23.</w:t>
        <w:tab/>
        <w:t>Trade receivables as on 31.03.2026 are as follows, and are considered good and fully recoverable:</w:t>
      </w:r>
    </w:p>
    <w:tbl>
      <w:tblPr>
        <w:tblStyle w:val="TableGrid"/>
        <w:tblW w:type="auto" w:w="0"/>
        <w:tblLook w:firstColumn="1" w:firstRow="1" w:lastColumn="0" w:lastRow="0" w:noHBand="0" w:noVBand="1" w:val="04A0"/>
        <w:tblInd w:w="648" w:type="dxa"/>
      </w:tblPr>
      <w:tblGrid>
        <w:gridCol w:w="1008"/>
        <w:gridCol w:w="4896"/>
        <w:gridCol w:w="2592"/>
      </w:tblGrid>
      <w:tr>
        <w:trPr>
          <w:trHeight w:val="360"/>
        </w:trPr>
        <w:tc>
          <w:tcPr>
            <w:tcW w:type="dxa" w:w="1008"/>
          </w:tcPr>
          <w:p>
            <w:pPr>
              <w:spacing w:after="0"/>
            </w:pPr>
            <w:r>
              <w:rPr>
                <w:b/>
                <w:sz w:val="19"/>
              </w:rPr>
              <w:t>Sl. No.</w:t>
            </w:r>
          </w:p>
        </w:tc>
        <w:tc>
          <w:tcPr>
            <w:tcW w:type="dxa" w:w="4896"/>
          </w:tcPr>
          <w:p>
            <w:pPr>
              <w:spacing w:after="0"/>
            </w:pPr>
            <w:r>
              <w:rPr>
                <w:b/>
                <w:sz w:val="19"/>
              </w:rPr>
              <w:t>Particulars</w:t>
            </w:r>
          </w:p>
        </w:tc>
        <w:tc>
          <w:tcPr>
            <w:tcW w:type="dxa" w:w="2592"/>
          </w:tcPr>
          <w:p>
            <w:pPr>
              <w:spacing w:after="0"/>
            </w:pPr>
            <w:r>
              <w:rPr>
                <w:b/>
                <w:sz w:val="19"/>
              </w:rPr>
              <w:t>Balance as on 31.03.2026 (Rs.)</w:t>
            </w:r>
          </w:p>
        </w:tc>
      </w:tr>
      <w:tr>
        <w:trPr>
          <w:trHeight w:val="360"/>
        </w:trPr>
        <w:tc>
          <w:tcPr>
            <w:tcW w:type="dxa" w:w="1008"/>
          </w:tcPr>
          <w:p>
            <w:pPr>
              <w:spacing w:after="0"/>
            </w:pPr>
            <w:r>
              <w:rPr>
                <w:sz w:val="19"/>
              </w:rPr>
              <w:t>1</w:t>
            </w:r>
          </w:p>
        </w:tc>
        <w:tc>
          <w:tcPr>
            <w:tcW w:type="dxa" w:w="4896"/>
          </w:tcPr>
          <w:p>
            <w:pPr>
              <w:spacing w:after="0"/>
            </w:pPr>
          </w:p>
        </w:tc>
        <w:tc>
          <w:tcPr>
            <w:tcW w:type="dxa" w:w="2592"/>
          </w:tcPr>
          <w:p>
            <w:pPr>
              <w:spacing w:after="0"/>
            </w:pPr>
          </w:p>
        </w:tc>
      </w:tr>
      <w:tr>
        <w:trPr>
          <w:trHeight w:val="360"/>
        </w:trPr>
        <w:tc>
          <w:tcPr>
            <w:tcW w:type="dxa" w:w="1008"/>
          </w:tcPr>
          <w:p>
            <w:pPr>
              <w:spacing w:after="0"/>
            </w:pPr>
            <w:r>
              <w:rPr>
                <w:sz w:val="19"/>
              </w:rPr>
              <w:t>2</w:t>
            </w:r>
          </w:p>
        </w:tc>
        <w:tc>
          <w:tcPr>
            <w:tcW w:type="dxa" w:w="4896"/>
          </w:tcPr>
          <w:p>
            <w:pPr>
              <w:spacing w:after="0"/>
            </w:pPr>
          </w:p>
        </w:tc>
        <w:tc>
          <w:tcPr>
            <w:tcW w:type="dxa" w:w="2592"/>
          </w:tcPr>
          <w:p>
            <w:pPr>
              <w:spacing w:after="0"/>
            </w:pPr>
          </w:p>
        </w:tc>
      </w:tr>
    </w:tbl>
    <w:p>
      <w:pPr>
        <w:spacing w:after="0"/>
      </w:pPr>
    </w:p>
    <w:p>
      <w:pPr>
        <w:keepNext/>
        <w:spacing w:before="120"/>
      </w:pPr>
      <w:r>
        <w:rPr>
          <w:b/>
          <w:u w:val="none"/>
        </w:rPr>
        <w:t>Cash and Cash Equivalents</w:t>
      </w:r>
    </w:p>
    <w:p>
      <w:pPr>
        <w:tabs>
          <w:tab w:pos="648" w:val="left"/>
        </w:tabs>
        <w:ind w:left="648" w:hanging="648"/>
        <w:jc w:val="both"/>
      </w:pPr>
      <w:r>
        <w:t>24.</w:t>
        <w:tab/>
        <w:t>The company is operating the following bank accounts:</w:t>
      </w:r>
    </w:p>
    <w:tbl>
      <w:tblPr>
        <w:tblStyle w:val="TableGrid"/>
        <w:tblW w:type="auto" w:w="0"/>
        <w:tblLook w:firstColumn="1" w:firstRow="1" w:lastColumn="0" w:lastRow="0" w:noHBand="0" w:noVBand="1" w:val="04A0"/>
        <w:tblInd w:w="648" w:type="dxa"/>
      </w:tblPr>
      <w:tblGrid>
        <w:gridCol w:w="1008"/>
        <w:gridCol w:w="4896"/>
        <w:gridCol w:w="2592"/>
      </w:tblGrid>
      <w:tr>
        <w:trPr>
          <w:trHeight w:val="360"/>
        </w:trPr>
        <w:tc>
          <w:tcPr>
            <w:tcW w:type="dxa" w:w="1008"/>
          </w:tcPr>
          <w:p>
            <w:pPr>
              <w:spacing w:after="0"/>
            </w:pPr>
            <w:r>
              <w:rPr>
                <w:b/>
                <w:sz w:val="19"/>
              </w:rPr>
              <w:t>Sl. No.</w:t>
            </w:r>
          </w:p>
        </w:tc>
        <w:tc>
          <w:tcPr>
            <w:tcW w:type="dxa" w:w="4896"/>
          </w:tcPr>
          <w:p>
            <w:pPr>
              <w:spacing w:after="0"/>
            </w:pPr>
            <w:r>
              <w:rPr>
                <w:b/>
                <w:sz w:val="19"/>
              </w:rPr>
              <w:t>Bank &amp; A/c No.</w:t>
            </w:r>
          </w:p>
        </w:tc>
        <w:tc>
          <w:tcPr>
            <w:tcW w:type="dxa" w:w="2592"/>
          </w:tcPr>
          <w:p>
            <w:pPr>
              <w:spacing w:after="0"/>
            </w:pPr>
            <w:r>
              <w:rPr>
                <w:b/>
                <w:sz w:val="19"/>
              </w:rPr>
              <w:t>Balance as on 31.03.2026 (Rs.)</w:t>
            </w:r>
          </w:p>
        </w:tc>
      </w:tr>
      <w:tr>
        <w:trPr>
          <w:trHeight w:val="360"/>
        </w:trPr>
        <w:tc>
          <w:tcPr>
            <w:tcW w:type="dxa" w:w="1008"/>
          </w:tcPr>
          <w:p>
            <w:pPr>
              <w:spacing w:after="0"/>
            </w:pPr>
            <w:r>
              <w:rPr>
                <w:sz w:val="19"/>
              </w:rPr>
              <w:t>1</w:t>
            </w:r>
          </w:p>
        </w:tc>
        <w:tc>
          <w:tcPr>
            <w:tcW w:type="dxa" w:w="4896"/>
          </w:tcPr>
          <w:p>
            <w:pPr>
              <w:spacing w:after="0"/>
            </w:pPr>
          </w:p>
        </w:tc>
        <w:tc>
          <w:tcPr>
            <w:tcW w:type="dxa" w:w="2592"/>
          </w:tcPr>
          <w:p>
            <w:pPr>
              <w:spacing w:after="0"/>
            </w:pPr>
          </w:p>
        </w:tc>
      </w:tr>
      <w:tr>
        <w:trPr>
          <w:trHeight w:val="360"/>
        </w:trPr>
        <w:tc>
          <w:tcPr>
            <w:tcW w:type="dxa" w:w="1008"/>
          </w:tcPr>
          <w:p>
            <w:pPr>
              <w:spacing w:after="0"/>
            </w:pPr>
            <w:r>
              <w:rPr>
                <w:sz w:val="19"/>
              </w:rPr>
              <w:t>2</w:t>
            </w:r>
          </w:p>
        </w:tc>
        <w:tc>
          <w:tcPr>
            <w:tcW w:type="dxa" w:w="4896"/>
          </w:tcPr>
          <w:p>
            <w:pPr>
              <w:spacing w:after="0"/>
            </w:pPr>
          </w:p>
        </w:tc>
        <w:tc>
          <w:tcPr>
            <w:tcW w:type="dxa" w:w="2592"/>
          </w:tcPr>
          <w:p>
            <w:pPr>
              <w:spacing w:after="0"/>
            </w:pPr>
          </w:p>
        </w:tc>
      </w:tr>
      <w:tr>
        <w:trPr>
          <w:trHeight w:val="360"/>
        </w:trPr>
        <w:tc>
          <w:tcPr>
            <w:tcW w:type="dxa" w:w="1008"/>
          </w:tcPr>
          <w:p>
            <w:pPr>
              <w:spacing w:after="0"/>
            </w:pPr>
            <w:r>
              <w:rPr>
                <w:sz w:val="19"/>
              </w:rPr>
              <w:t>3</w:t>
            </w:r>
          </w:p>
        </w:tc>
        <w:tc>
          <w:tcPr>
            <w:tcW w:type="dxa" w:w="4896"/>
          </w:tcPr>
          <w:p>
            <w:pPr>
              <w:spacing w:after="0"/>
            </w:pPr>
          </w:p>
        </w:tc>
        <w:tc>
          <w:tcPr>
            <w:tcW w:type="dxa" w:w="2592"/>
          </w:tcPr>
          <w:p>
            <w:pPr>
              <w:spacing w:after="0"/>
            </w:pPr>
          </w:p>
        </w:tc>
      </w:tr>
    </w:tbl>
    <w:p>
      <w:pPr>
        <w:spacing w:after="0"/>
      </w:pPr>
    </w:p>
    <w:p>
      <w:pPr>
        <w:tabs>
          <w:tab w:pos="648" w:val="left"/>
        </w:tabs>
        <w:ind w:left="648" w:hanging="648"/>
        <w:jc w:val="both"/>
      </w:pPr>
      <w:r>
        <w:t>25.</w:t>
        <w:tab/>
        <w:t>The company does not have any other bank account.</w:t>
      </w:r>
    </w:p>
    <w:p>
      <w:pPr>
        <w:tabs>
          <w:tab w:pos="648" w:val="left"/>
        </w:tabs>
        <w:ind w:left="648" w:hanging="648"/>
        <w:jc w:val="both"/>
      </w:pPr>
      <w:r>
        <w:t>26.</w:t>
        <w:tab/>
        <w:t xml:space="preserve">Physical balance of cash as on 31.03.2026 was Rs. </w:t>
      </w:r>
      <w:r>
        <w:rPr>
          <w:highlight w:val="yellow"/>
        </w:rPr>
        <w:t>________</w:t>
      </w:r>
      <w:r>
        <w:t>/-.</w:t>
      </w:r>
    </w:p>
    <w:p>
      <w:pPr>
        <w:keepNext/>
        <w:spacing w:before="120"/>
      </w:pPr>
      <w:r>
        <w:rPr>
          <w:b/>
          <w:u w:val="none"/>
        </w:rPr>
        <w:t>Short-Term Loans and Advances</w:t>
      </w:r>
    </w:p>
    <w:p>
      <w:pPr>
        <w:tabs>
          <w:tab w:pos="648" w:val="left"/>
        </w:tabs>
        <w:ind w:left="648" w:hanging="648"/>
        <w:jc w:val="both"/>
      </w:pPr>
      <w:r>
        <w:t>27.</w:t>
        <w:tab/>
        <w:t>The following items appearing in the books as at 31st March 2026 are considered good and fully recoverable:</w:t>
      </w:r>
    </w:p>
    <w:tbl>
      <w:tblPr>
        <w:tblStyle w:val="TableGrid"/>
        <w:tblW w:type="auto" w:w="0"/>
        <w:tblLook w:firstColumn="1" w:firstRow="1" w:lastColumn="0" w:lastRow="0" w:noHBand="0" w:noVBand="1" w:val="04A0"/>
        <w:tblInd w:w="648" w:type="dxa"/>
      </w:tblPr>
      <w:tblGrid>
        <w:gridCol w:w="1008"/>
        <w:gridCol w:w="4896"/>
        <w:gridCol w:w="2592"/>
      </w:tblGrid>
      <w:tr>
        <w:trPr>
          <w:trHeight w:val="360"/>
        </w:trPr>
        <w:tc>
          <w:tcPr>
            <w:tcW w:type="dxa" w:w="1008"/>
          </w:tcPr>
          <w:p>
            <w:pPr>
              <w:spacing w:after="0"/>
            </w:pPr>
            <w:r>
              <w:rPr>
                <w:b/>
                <w:sz w:val="19"/>
              </w:rPr>
              <w:t>Sl. No.</w:t>
            </w:r>
          </w:p>
        </w:tc>
        <w:tc>
          <w:tcPr>
            <w:tcW w:type="dxa" w:w="4896"/>
          </w:tcPr>
          <w:p>
            <w:pPr>
              <w:spacing w:after="0"/>
            </w:pPr>
            <w:r>
              <w:rPr>
                <w:b/>
                <w:sz w:val="19"/>
              </w:rPr>
              <w:t>Party</w:t>
            </w:r>
          </w:p>
        </w:tc>
        <w:tc>
          <w:tcPr>
            <w:tcW w:type="dxa" w:w="2592"/>
          </w:tcPr>
          <w:p>
            <w:pPr>
              <w:spacing w:after="0"/>
            </w:pPr>
            <w:r>
              <w:rPr>
                <w:b/>
                <w:sz w:val="19"/>
              </w:rPr>
              <w:t>Amount (Rs.)</w:t>
            </w:r>
          </w:p>
        </w:tc>
      </w:tr>
      <w:tr>
        <w:trPr>
          <w:trHeight w:val="360"/>
        </w:trPr>
        <w:tc>
          <w:tcPr>
            <w:tcW w:type="dxa" w:w="1008"/>
          </w:tcPr>
          <w:p>
            <w:pPr>
              <w:spacing w:after="0"/>
            </w:pPr>
            <w:r>
              <w:rPr>
                <w:sz w:val="19"/>
              </w:rPr>
              <w:t>1</w:t>
            </w:r>
          </w:p>
        </w:tc>
        <w:tc>
          <w:tcPr>
            <w:tcW w:type="dxa" w:w="4896"/>
          </w:tcPr>
          <w:p>
            <w:pPr>
              <w:spacing w:after="0"/>
            </w:pPr>
          </w:p>
        </w:tc>
        <w:tc>
          <w:tcPr>
            <w:tcW w:type="dxa" w:w="2592"/>
          </w:tcPr>
          <w:p>
            <w:pPr>
              <w:spacing w:after="0"/>
            </w:pPr>
          </w:p>
        </w:tc>
      </w:tr>
      <w:tr>
        <w:trPr>
          <w:trHeight w:val="360"/>
        </w:trPr>
        <w:tc>
          <w:tcPr>
            <w:tcW w:type="dxa" w:w="1008"/>
          </w:tcPr>
          <w:p>
            <w:pPr>
              <w:spacing w:after="0"/>
            </w:pPr>
            <w:r>
              <w:rPr>
                <w:sz w:val="19"/>
              </w:rPr>
              <w:t>2</w:t>
            </w:r>
          </w:p>
        </w:tc>
        <w:tc>
          <w:tcPr>
            <w:tcW w:type="dxa" w:w="4896"/>
          </w:tcPr>
          <w:p>
            <w:pPr>
              <w:spacing w:after="0"/>
            </w:pPr>
          </w:p>
        </w:tc>
        <w:tc>
          <w:tcPr>
            <w:tcW w:type="dxa" w:w="2592"/>
          </w:tcPr>
          <w:p>
            <w:pPr>
              <w:spacing w:after="0"/>
            </w:pPr>
          </w:p>
        </w:tc>
      </w:tr>
      <w:tr>
        <w:trPr>
          <w:trHeight w:val="360"/>
        </w:trPr>
        <w:tc>
          <w:tcPr>
            <w:tcW w:type="dxa" w:w="1008"/>
          </w:tcPr>
          <w:p>
            <w:pPr>
              <w:spacing w:after="0"/>
            </w:pPr>
            <w:r>
              <w:rPr>
                <w:sz w:val="19"/>
              </w:rPr>
              <w:t>3</w:t>
            </w:r>
          </w:p>
        </w:tc>
        <w:tc>
          <w:tcPr>
            <w:tcW w:type="dxa" w:w="4896"/>
          </w:tcPr>
          <w:p>
            <w:pPr>
              <w:spacing w:after="0"/>
            </w:pPr>
          </w:p>
        </w:tc>
        <w:tc>
          <w:tcPr>
            <w:tcW w:type="dxa" w:w="2592"/>
          </w:tcPr>
          <w:p>
            <w:pPr>
              <w:spacing w:after="0"/>
            </w:pPr>
          </w:p>
        </w:tc>
      </w:tr>
    </w:tbl>
    <w:p>
      <w:pPr>
        <w:spacing w:after="0"/>
      </w:pPr>
    </w:p>
    <w:p>
      <w:pPr>
        <w:keepNext/>
        <w:spacing w:before="120"/>
      </w:pPr>
      <w:r>
        <w:rPr>
          <w:b/>
          <w:u w:val="none"/>
        </w:rPr>
        <w:t>Other Current Assets</w:t>
      </w:r>
    </w:p>
    <w:p>
      <w:pPr>
        <w:tabs>
          <w:tab w:pos="648" w:val="left"/>
        </w:tabs>
        <w:ind w:left="648" w:hanging="648"/>
        <w:jc w:val="both"/>
      </w:pPr>
      <w:r>
        <w:t>28.</w:t>
        <w:tab/>
        <w:t>In the opinion of the Board of Directors, other current assets have a value on realisation in the ordinary course of the company's business which is equal to the amount at which they are stated in the financial statements.</w:t>
      </w:r>
    </w:p>
    <w:p>
      <w:pPr>
        <w:keepNext/>
        <w:spacing w:before="120"/>
      </w:pPr>
      <w:r>
        <w:rPr>
          <w:b/>
          <w:u w:val="none"/>
        </w:rPr>
        <w:t>Deposits</w:t>
      </w:r>
    </w:p>
    <w:p>
      <w:pPr>
        <w:tabs>
          <w:tab w:pos="648" w:val="left"/>
        </w:tabs>
        <w:ind w:left="648" w:hanging="648"/>
        <w:jc w:val="both"/>
      </w:pPr>
      <w:r>
        <w:t>29.</w:t>
        <w:tab/>
        <w:t>The company has not accepted any deposits as defined under the Companies (Acceptance of Deposits) Rules, 2014.</w:t>
      </w:r>
    </w:p>
    <w:p>
      <w:pPr>
        <w:keepNext/>
        <w:spacing w:before="120"/>
      </w:pPr>
      <w:r>
        <w:rPr>
          <w:b/>
          <w:u w:val="none"/>
        </w:rPr>
        <w:t>Borrowings from Banks / Financial Institutions</w:t>
      </w:r>
    </w:p>
    <w:p>
      <w:pPr>
        <w:tabs>
          <w:tab w:pos="648" w:val="left"/>
        </w:tabs>
        <w:ind w:left="648" w:hanging="648"/>
        <w:jc w:val="both"/>
      </w:pPr>
      <w:r>
        <w:t>30.</w:t>
        <w:tab/>
        <w:t>The term loans have been used only for the purpose for which they were taken.</w:t>
      </w:r>
    </w:p>
    <w:p>
      <w:pPr>
        <w:tabs>
          <w:tab w:pos="648" w:val="left"/>
        </w:tabs>
        <w:ind w:left="648" w:hanging="648"/>
        <w:jc w:val="both"/>
      </w:pPr>
      <w:r>
        <w:t>31.</w:t>
        <w:tab/>
        <w:t>The company has not been declared a wilful defaulter by any bank or financial institution.</w:t>
      </w:r>
    </w:p>
    <w:p>
      <w:pPr>
        <w:keepNext/>
        <w:spacing w:before="120"/>
      </w:pPr>
      <w:r>
        <w:rPr>
          <w:b/>
          <w:u w:val="none"/>
        </w:rPr>
        <w:t>Liabilities</w:t>
      </w:r>
    </w:p>
    <w:p>
      <w:pPr>
        <w:tabs>
          <w:tab w:pos="648" w:val="left"/>
        </w:tabs>
        <w:ind w:left="648" w:hanging="648"/>
        <w:jc w:val="both"/>
      </w:pPr>
      <w:r>
        <w:t>32.</w:t>
        <w:tab/>
        <w:t>We have recorded all known liabilities in the financial statements.</w:t>
      </w:r>
    </w:p>
    <w:p>
      <w:pPr>
        <w:tabs>
          <w:tab w:pos="648" w:val="left"/>
        </w:tabs>
        <w:ind w:left="648" w:hanging="648"/>
        <w:jc w:val="both"/>
      </w:pPr>
      <w:r>
        <w:t>33.</w:t>
        <w:tab/>
        <w:t>We have disclosed in the notes to the financial statements all guarantees that we have given to third parties, pending litigations and all other contingent liabilities.</w:t>
      </w:r>
    </w:p>
    <w:p>
      <w:pPr>
        <w:tabs>
          <w:tab w:pos="648" w:val="left"/>
        </w:tabs>
        <w:ind w:left="648" w:hanging="648"/>
        <w:jc w:val="both"/>
      </w:pPr>
      <w:r>
        <w:t>34.</w:t>
        <w:tab/>
        <w:t>Contingent liabilities disclosed in the notes to the financial statements do not include any contingencies which are likely to result in a loss and which, therefore, require adjustment of assets or liabilities.</w:t>
      </w:r>
    </w:p>
    <w:p>
      <w:pPr>
        <w:keepNext/>
        <w:spacing w:before="120"/>
      </w:pPr>
      <w:r>
        <w:rPr>
          <w:b/>
          <w:u w:val="none"/>
        </w:rPr>
        <w:t>Provision for Claims and Losses</w:t>
      </w:r>
    </w:p>
    <w:p>
      <w:pPr>
        <w:tabs>
          <w:tab w:pos="648" w:val="left"/>
        </w:tabs>
        <w:ind w:left="648" w:hanging="648"/>
        <w:jc w:val="both"/>
      </w:pPr>
      <w:r>
        <w:t>35.</w:t>
        <w:tab/>
        <w:t>Provision has been made in the accounts for all known losses and claims of material amounts.</w:t>
      </w:r>
    </w:p>
    <w:p>
      <w:pPr>
        <w:keepNext/>
        <w:spacing w:before="120"/>
      </w:pPr>
      <w:r>
        <w:rPr>
          <w:b/>
          <w:u w:val="none"/>
        </w:rPr>
        <w:t>Capital Commitments</w:t>
      </w:r>
    </w:p>
    <w:p>
      <w:pPr>
        <w:tabs>
          <w:tab w:pos="648" w:val="left"/>
        </w:tabs>
        <w:ind w:left="648" w:hanging="648"/>
        <w:jc w:val="both"/>
      </w:pPr>
      <w:r>
        <w:t>36.</w:t>
        <w:tab/>
        <w:t>At the Balance Sheet date, there are no outstanding commitments for capital expenditure, except those disclosed in the notes to the financial statements.</w:t>
      </w:r>
    </w:p>
    <w:p>
      <w:pPr>
        <w:keepNext/>
        <w:spacing w:before="120"/>
      </w:pPr>
      <w:r>
        <w:rPr>
          <w:b/>
          <w:u w:val="none"/>
        </w:rPr>
        <w:t>Related Party Transactions</w:t>
      </w:r>
    </w:p>
    <w:p>
      <w:pPr>
        <w:tabs>
          <w:tab w:pos="648" w:val="left"/>
        </w:tabs>
        <w:ind w:left="648" w:hanging="648"/>
        <w:jc w:val="both"/>
      </w:pPr>
      <w:r>
        <w:t>37.</w:t>
        <w:tab/>
        <w:t>Related party relationships and transactions have been properly disclosed and appropriately accounted for in accordance with AS 18, Related Party Disclosures, and the Companies Act, 2013.</w:t>
      </w:r>
    </w:p>
    <w:p>
      <w:pPr>
        <w:tabs>
          <w:tab w:pos="648" w:val="left"/>
        </w:tabs>
        <w:ind w:left="648" w:hanging="648"/>
        <w:jc w:val="both"/>
      </w:pPr>
      <w:r>
        <w:t>38.</w:t>
        <w:tab/>
        <w:t>The full details of the related party transactions are given below:</w:t>
      </w:r>
    </w:p>
    <w:tbl>
      <w:tblPr>
        <w:tblStyle w:val="TableGrid"/>
        <w:tblW w:type="auto" w:w="0"/>
        <w:tblLook w:firstColumn="1" w:firstRow="1" w:lastColumn="0" w:lastRow="0" w:noHBand="0" w:noVBand="1" w:val="04A0"/>
      </w:tblPr>
      <w:tblGrid>
        <w:gridCol w:w="2160"/>
        <w:gridCol w:w="1584"/>
        <w:gridCol w:w="1872"/>
        <w:gridCol w:w="1440"/>
        <w:gridCol w:w="1584"/>
      </w:tblGrid>
      <w:tr>
        <w:trPr>
          <w:trHeight w:val="360"/>
        </w:trPr>
        <w:tc>
          <w:tcPr>
            <w:tcW w:type="dxa" w:w="2160"/>
          </w:tcPr>
          <w:p>
            <w:pPr>
              <w:spacing w:after="0"/>
            </w:pPr>
            <w:r>
              <w:rPr>
                <w:b/>
                <w:sz w:val="19"/>
              </w:rPr>
              <w:t>Name of Party</w:t>
            </w:r>
          </w:p>
        </w:tc>
        <w:tc>
          <w:tcPr>
            <w:tcW w:type="dxa" w:w="1584"/>
          </w:tcPr>
          <w:p>
            <w:pPr>
              <w:spacing w:after="0"/>
            </w:pPr>
            <w:r>
              <w:rPr>
                <w:b/>
                <w:sz w:val="19"/>
              </w:rPr>
              <w:t>Relationship</w:t>
            </w:r>
          </w:p>
        </w:tc>
        <w:tc>
          <w:tcPr>
            <w:tcW w:type="dxa" w:w="1872"/>
          </w:tcPr>
          <w:p>
            <w:pPr>
              <w:spacing w:after="0"/>
            </w:pPr>
            <w:r>
              <w:rPr>
                <w:b/>
                <w:sz w:val="19"/>
              </w:rPr>
              <w:t>Nature of Transaction</w:t>
            </w:r>
          </w:p>
        </w:tc>
        <w:tc>
          <w:tcPr>
            <w:tcW w:type="dxa" w:w="1440"/>
          </w:tcPr>
          <w:p>
            <w:pPr>
              <w:spacing w:after="0"/>
            </w:pPr>
            <w:r>
              <w:rPr>
                <w:b/>
                <w:sz w:val="19"/>
              </w:rPr>
              <w:t>Amount (Rs.)</w:t>
            </w:r>
          </w:p>
        </w:tc>
        <w:tc>
          <w:tcPr>
            <w:tcW w:type="dxa" w:w="1584"/>
          </w:tcPr>
          <w:p>
            <w:pPr>
              <w:spacing w:after="0"/>
            </w:pPr>
            <w:r>
              <w:rPr>
                <w:b/>
                <w:sz w:val="19"/>
              </w:rPr>
              <w:t>Balance Outstanding (Rs.)</w:t>
            </w:r>
          </w:p>
        </w:tc>
      </w:tr>
      <w:tr>
        <w:trPr>
          <w:trHeight w:val="360"/>
        </w:trPr>
        <w:tc>
          <w:tcPr>
            <w:tcW w:type="dxa" w:w="2160"/>
          </w:tcPr>
          <w:p>
            <w:pPr>
              <w:spacing w:after="0"/>
            </w:pPr>
          </w:p>
        </w:tc>
        <w:tc>
          <w:tcPr>
            <w:tcW w:type="dxa" w:w="1584"/>
          </w:tcPr>
          <w:p>
            <w:pPr>
              <w:spacing w:after="0"/>
            </w:pPr>
          </w:p>
        </w:tc>
        <w:tc>
          <w:tcPr>
            <w:tcW w:type="dxa" w:w="1872"/>
          </w:tcPr>
          <w:p>
            <w:pPr>
              <w:spacing w:after="0"/>
            </w:pPr>
          </w:p>
        </w:tc>
        <w:tc>
          <w:tcPr>
            <w:tcW w:type="dxa" w:w="1440"/>
          </w:tcPr>
          <w:p>
            <w:pPr>
              <w:spacing w:after="0"/>
            </w:pPr>
          </w:p>
        </w:tc>
        <w:tc>
          <w:tcPr>
            <w:tcW w:type="dxa" w:w="1584"/>
          </w:tcPr>
          <w:p>
            <w:pPr>
              <w:spacing w:after="0"/>
            </w:pPr>
          </w:p>
        </w:tc>
      </w:tr>
      <w:tr>
        <w:trPr>
          <w:trHeight w:val="360"/>
        </w:trPr>
        <w:tc>
          <w:tcPr>
            <w:tcW w:type="dxa" w:w="2160"/>
          </w:tcPr>
          <w:p>
            <w:pPr>
              <w:spacing w:after="0"/>
            </w:pPr>
          </w:p>
        </w:tc>
        <w:tc>
          <w:tcPr>
            <w:tcW w:type="dxa" w:w="1584"/>
          </w:tcPr>
          <w:p>
            <w:pPr>
              <w:spacing w:after="0"/>
            </w:pPr>
          </w:p>
        </w:tc>
        <w:tc>
          <w:tcPr>
            <w:tcW w:type="dxa" w:w="1872"/>
          </w:tcPr>
          <w:p>
            <w:pPr>
              <w:spacing w:after="0"/>
            </w:pPr>
          </w:p>
        </w:tc>
        <w:tc>
          <w:tcPr>
            <w:tcW w:type="dxa" w:w="1440"/>
          </w:tcPr>
          <w:p>
            <w:pPr>
              <w:spacing w:after="0"/>
            </w:pPr>
          </w:p>
        </w:tc>
        <w:tc>
          <w:tcPr>
            <w:tcW w:type="dxa" w:w="1584"/>
          </w:tcPr>
          <w:p>
            <w:pPr>
              <w:spacing w:after="0"/>
            </w:pPr>
          </w:p>
        </w:tc>
      </w:tr>
      <w:tr>
        <w:trPr>
          <w:trHeight w:val="360"/>
        </w:trPr>
        <w:tc>
          <w:tcPr>
            <w:tcW w:type="dxa" w:w="2160"/>
          </w:tcPr>
          <w:p>
            <w:pPr>
              <w:spacing w:after="0"/>
            </w:pPr>
          </w:p>
        </w:tc>
        <w:tc>
          <w:tcPr>
            <w:tcW w:type="dxa" w:w="1584"/>
          </w:tcPr>
          <w:p>
            <w:pPr>
              <w:spacing w:after="0"/>
            </w:pPr>
          </w:p>
        </w:tc>
        <w:tc>
          <w:tcPr>
            <w:tcW w:type="dxa" w:w="1872"/>
          </w:tcPr>
          <w:p>
            <w:pPr>
              <w:spacing w:after="0"/>
            </w:pPr>
          </w:p>
        </w:tc>
        <w:tc>
          <w:tcPr>
            <w:tcW w:type="dxa" w:w="1440"/>
          </w:tcPr>
          <w:p>
            <w:pPr>
              <w:spacing w:after="0"/>
            </w:pPr>
          </w:p>
        </w:tc>
        <w:tc>
          <w:tcPr>
            <w:tcW w:type="dxa" w:w="1584"/>
          </w:tcPr>
          <w:p>
            <w:pPr>
              <w:spacing w:after="0"/>
            </w:pPr>
          </w:p>
        </w:tc>
      </w:tr>
      <w:tr>
        <w:trPr>
          <w:trHeight w:val="360"/>
        </w:trPr>
        <w:tc>
          <w:tcPr>
            <w:tcW w:type="dxa" w:w="2160"/>
          </w:tcPr>
          <w:p>
            <w:pPr>
              <w:spacing w:after="0"/>
            </w:pPr>
          </w:p>
        </w:tc>
        <w:tc>
          <w:tcPr>
            <w:tcW w:type="dxa" w:w="1584"/>
          </w:tcPr>
          <w:p>
            <w:pPr>
              <w:spacing w:after="0"/>
            </w:pPr>
          </w:p>
        </w:tc>
        <w:tc>
          <w:tcPr>
            <w:tcW w:type="dxa" w:w="1872"/>
          </w:tcPr>
          <w:p>
            <w:pPr>
              <w:spacing w:after="0"/>
            </w:pPr>
          </w:p>
        </w:tc>
        <w:tc>
          <w:tcPr>
            <w:tcW w:type="dxa" w:w="1440"/>
          </w:tcPr>
          <w:p>
            <w:pPr>
              <w:spacing w:after="0"/>
            </w:pPr>
          </w:p>
        </w:tc>
        <w:tc>
          <w:tcPr>
            <w:tcW w:type="dxa" w:w="1584"/>
          </w:tcPr>
          <w:p>
            <w:pPr>
              <w:spacing w:after="0"/>
            </w:pPr>
          </w:p>
        </w:tc>
      </w:tr>
      <w:tr>
        <w:trPr>
          <w:trHeight w:val="360"/>
        </w:trPr>
        <w:tc>
          <w:tcPr>
            <w:tcW w:type="dxa" w:w="2160"/>
          </w:tcPr>
          <w:p>
            <w:pPr>
              <w:spacing w:after="0"/>
            </w:pPr>
          </w:p>
        </w:tc>
        <w:tc>
          <w:tcPr>
            <w:tcW w:type="dxa" w:w="1584"/>
          </w:tcPr>
          <w:p>
            <w:pPr>
              <w:spacing w:after="0"/>
            </w:pPr>
          </w:p>
        </w:tc>
        <w:tc>
          <w:tcPr>
            <w:tcW w:type="dxa" w:w="1872"/>
          </w:tcPr>
          <w:p>
            <w:pPr>
              <w:spacing w:after="0"/>
            </w:pPr>
          </w:p>
        </w:tc>
        <w:tc>
          <w:tcPr>
            <w:tcW w:type="dxa" w:w="1440"/>
          </w:tcPr>
          <w:p>
            <w:pPr>
              <w:spacing w:after="0"/>
            </w:pPr>
          </w:p>
        </w:tc>
        <w:tc>
          <w:tcPr>
            <w:tcW w:type="dxa" w:w="1584"/>
          </w:tcPr>
          <w:p>
            <w:pPr>
              <w:spacing w:after="0"/>
            </w:pPr>
          </w:p>
        </w:tc>
      </w:tr>
    </w:tbl>
    <w:p>
      <w:pPr>
        <w:spacing w:after="0"/>
      </w:pPr>
    </w:p>
    <w:p>
      <w:pPr>
        <w:tabs>
          <w:tab w:pos="648" w:val="left"/>
        </w:tabs>
        <w:ind w:left="648" w:hanging="648"/>
        <w:jc w:val="both"/>
      </w:pPr>
      <w:r>
        <w:t>39.</w:t>
        <w:tab/>
        <w:t>We confirm that these transactions are not prejudicial to the interests of the company.</w:t>
      </w:r>
    </w:p>
    <w:p>
      <w:pPr>
        <w:keepNext/>
        <w:spacing w:before="120"/>
      </w:pPr>
      <w:r>
        <w:rPr>
          <w:b/>
          <w:u w:val="none"/>
        </w:rPr>
        <w:t>Profit and Loss Account</w:t>
      </w:r>
    </w:p>
    <w:p>
      <w:pPr>
        <w:tabs>
          <w:tab w:pos="648" w:val="left"/>
        </w:tabs>
        <w:ind w:left="648" w:hanging="648"/>
        <w:jc w:val="both"/>
      </w:pPr>
      <w:r>
        <w:t>40.</w:t>
        <w:tab/>
        <w:t>Except as disclosed in the financial statements, the results for the period were not materially affected by:</w:t>
      </w:r>
    </w:p>
    <w:p>
      <w:pPr>
        <w:tabs>
          <w:tab w:pos="1296" w:val="left"/>
        </w:tabs>
        <w:ind w:left="1296" w:hanging="648"/>
        <w:jc w:val="both"/>
      </w:pPr>
      <w:r>
        <w:t>(a)</w:t>
        <w:tab/>
        <w:t>transactions of a nature not usually undertaken by the company;</w:t>
      </w:r>
    </w:p>
    <w:p>
      <w:pPr>
        <w:tabs>
          <w:tab w:pos="1296" w:val="left"/>
        </w:tabs>
        <w:ind w:left="1296" w:hanging="648"/>
        <w:jc w:val="both"/>
      </w:pPr>
      <w:r>
        <w:t>(b)</w:t>
        <w:tab/>
        <w:t>circumstances of an exceptional or non-recurring nature;</w:t>
      </w:r>
    </w:p>
    <w:p>
      <w:pPr>
        <w:tabs>
          <w:tab w:pos="1296" w:val="left"/>
        </w:tabs>
        <w:ind w:left="1296" w:hanging="648"/>
        <w:jc w:val="both"/>
      </w:pPr>
      <w:r>
        <w:t>(c)</w:t>
        <w:tab/>
        <w:t>charges or credits relating to prior years; or</w:t>
      </w:r>
    </w:p>
    <w:p>
      <w:pPr>
        <w:tabs>
          <w:tab w:pos="1296" w:val="left"/>
        </w:tabs>
        <w:ind w:left="1296" w:hanging="648"/>
        <w:jc w:val="both"/>
      </w:pPr>
      <w:r>
        <w:t>(d)</w:t>
        <w:tab/>
        <w:t>changes in accounting policies.</w:t>
      </w:r>
    </w:p>
    <w:p>
      <w:pPr>
        <w:tabs>
          <w:tab w:pos="648" w:val="left"/>
        </w:tabs>
        <w:ind w:left="648" w:hanging="648"/>
        <w:jc w:val="both"/>
      </w:pPr>
      <w:r>
        <w:t>41.</w:t>
        <w:tab/>
        <w:t>No personal expenses are charged in the revenue accounts.</w:t>
      </w:r>
    </w:p>
    <w:p>
      <w:pPr>
        <w:keepNext/>
        <w:spacing w:before="120"/>
      </w:pPr>
      <w:r>
        <w:rPr>
          <w:b/>
          <w:u w:val="none"/>
        </w:rPr>
        <w:t>General</w:t>
      </w:r>
    </w:p>
    <w:p>
      <w:pPr>
        <w:tabs>
          <w:tab w:pos="648" w:val="left"/>
        </w:tabs>
        <w:ind w:left="648" w:hanging="648"/>
        <w:jc w:val="both"/>
      </w:pPr>
      <w:r>
        <w:t>42.</w:t>
        <w:tab/>
        <w:t>The company has complied with all the applicable provisions of the Companies Act, 2013.</w:t>
      </w:r>
    </w:p>
    <w:p>
      <w:pPr>
        <w:tabs>
          <w:tab w:pos="648" w:val="left"/>
        </w:tabs>
        <w:ind w:left="648" w:hanging="648"/>
        <w:jc w:val="both"/>
      </w:pPr>
      <w:r>
        <w:t>43.</w:t>
        <w:tab/>
        <w:t>The current and non-current classification of assets and liabilities in the financial statements has been done as per the requirements of Schedule III to the Companies Act, 2013.</w:t>
      </w:r>
    </w:p>
    <w:p>
      <w:pPr>
        <w:tabs>
          <w:tab w:pos="648" w:val="left"/>
        </w:tabs>
        <w:ind w:left="648" w:hanging="648"/>
        <w:jc w:val="both"/>
      </w:pPr>
      <w:r>
        <w:t>44.</w:t>
        <w:tab/>
        <w:t>The financial statements are free of material misstatements and omissions.</w:t>
      </w:r>
    </w:p>
    <w:p>
      <w:pPr>
        <w:tabs>
          <w:tab w:pos="648" w:val="left"/>
        </w:tabs>
        <w:ind w:left="648" w:hanging="648"/>
        <w:jc w:val="both"/>
      </w:pPr>
      <w:r>
        <w:t>45.</w:t>
        <w:tab/>
        <w:t>The company has complied with all aspects of contractual agreements that could have a material effect on the financial statements in the event of non-compliance. There has been no non-compliance with requirements of regulatory authorities that could have a material effect on the financial statements in the event of non-compliance.</w:t>
      </w:r>
    </w:p>
    <w:p>
      <w:pPr>
        <w:tabs>
          <w:tab w:pos="648" w:val="left"/>
        </w:tabs>
        <w:ind w:left="648" w:hanging="648"/>
        <w:jc w:val="both"/>
      </w:pPr>
      <w:r>
        <w:t>46.</w:t>
        <w:tab/>
        <w:t>The company is regular in depositing undisputed statutory dues including GST, income-tax and other statutory dues with the appropriate authorities.</w:t>
      </w:r>
    </w:p>
    <w:p>
      <w:pPr>
        <w:tabs>
          <w:tab w:pos="648" w:val="left"/>
        </w:tabs>
        <w:ind w:left="648" w:hanging="648"/>
        <w:jc w:val="both"/>
      </w:pPr>
      <w:r>
        <w:t>47.</w:t>
        <w:tab/>
        <w:t>The list of MSME suppliers is given below:</w:t>
      </w:r>
    </w:p>
    <w:tbl>
      <w:tblPr>
        <w:tblStyle w:val="TableGrid"/>
        <w:tblW w:type="auto" w:w="0"/>
        <w:tblLook w:firstColumn="1" w:firstRow="1" w:lastColumn="0" w:lastRow="0" w:noHBand="0" w:noVBand="1" w:val="04A0"/>
        <w:tblInd w:w="648" w:type="dxa"/>
      </w:tblPr>
      <w:tblGrid>
        <w:gridCol w:w="3600"/>
        <w:gridCol w:w="2592"/>
        <w:gridCol w:w="2448"/>
      </w:tblGrid>
      <w:tr>
        <w:trPr>
          <w:trHeight w:val="360"/>
        </w:trPr>
        <w:tc>
          <w:tcPr>
            <w:tcW w:type="dxa" w:w="3600"/>
          </w:tcPr>
          <w:p>
            <w:pPr>
              <w:spacing w:after="0"/>
            </w:pPr>
            <w:r>
              <w:rPr>
                <w:b/>
                <w:sz w:val="19"/>
              </w:rPr>
              <w:t>Name of Supplier</w:t>
            </w:r>
          </w:p>
        </w:tc>
        <w:tc>
          <w:tcPr>
            <w:tcW w:type="dxa" w:w="2592"/>
          </w:tcPr>
          <w:p>
            <w:pPr>
              <w:spacing w:after="0"/>
            </w:pPr>
            <w:r>
              <w:rPr>
                <w:b/>
                <w:sz w:val="19"/>
              </w:rPr>
              <w:t>Nature of Transaction</w:t>
            </w:r>
          </w:p>
        </w:tc>
        <w:tc>
          <w:tcPr>
            <w:tcW w:type="dxa" w:w="2448"/>
          </w:tcPr>
          <w:p>
            <w:pPr>
              <w:spacing w:after="0"/>
            </w:pPr>
            <w:r>
              <w:rPr>
                <w:b/>
                <w:sz w:val="19"/>
              </w:rPr>
              <w:t>Balance Outstanding (Rs.)</w:t>
            </w:r>
          </w:p>
        </w:tc>
      </w:tr>
      <w:tr>
        <w:trPr>
          <w:trHeight w:val="360"/>
        </w:trPr>
        <w:tc>
          <w:tcPr>
            <w:tcW w:type="dxa" w:w="3600"/>
          </w:tcPr>
          <w:p>
            <w:pPr>
              <w:spacing w:after="0"/>
            </w:pPr>
          </w:p>
        </w:tc>
        <w:tc>
          <w:tcPr>
            <w:tcW w:type="dxa" w:w="2592"/>
          </w:tcPr>
          <w:p>
            <w:pPr>
              <w:spacing w:after="0"/>
            </w:pPr>
          </w:p>
        </w:tc>
        <w:tc>
          <w:tcPr>
            <w:tcW w:type="dxa" w:w="2448"/>
          </w:tcPr>
          <w:p>
            <w:pPr>
              <w:spacing w:after="0"/>
            </w:pPr>
          </w:p>
        </w:tc>
      </w:tr>
      <w:tr>
        <w:trPr>
          <w:trHeight w:val="360"/>
        </w:trPr>
        <w:tc>
          <w:tcPr>
            <w:tcW w:type="dxa" w:w="3600"/>
          </w:tcPr>
          <w:p>
            <w:pPr>
              <w:spacing w:after="0"/>
            </w:pPr>
          </w:p>
        </w:tc>
        <w:tc>
          <w:tcPr>
            <w:tcW w:type="dxa" w:w="2592"/>
          </w:tcPr>
          <w:p>
            <w:pPr>
              <w:spacing w:after="0"/>
            </w:pPr>
          </w:p>
        </w:tc>
        <w:tc>
          <w:tcPr>
            <w:tcW w:type="dxa" w:w="2448"/>
          </w:tcPr>
          <w:p>
            <w:pPr>
              <w:spacing w:after="0"/>
            </w:pPr>
          </w:p>
        </w:tc>
      </w:tr>
      <w:tr>
        <w:trPr>
          <w:trHeight w:val="360"/>
        </w:trPr>
        <w:tc>
          <w:tcPr>
            <w:tcW w:type="dxa" w:w="3600"/>
          </w:tcPr>
          <w:p>
            <w:pPr>
              <w:spacing w:after="0"/>
            </w:pPr>
          </w:p>
        </w:tc>
        <w:tc>
          <w:tcPr>
            <w:tcW w:type="dxa" w:w="2592"/>
          </w:tcPr>
          <w:p>
            <w:pPr>
              <w:spacing w:after="0"/>
            </w:pPr>
          </w:p>
        </w:tc>
        <w:tc>
          <w:tcPr>
            <w:tcW w:type="dxa" w:w="2448"/>
          </w:tcPr>
          <w:p>
            <w:pPr>
              <w:spacing w:after="0"/>
            </w:pPr>
          </w:p>
        </w:tc>
      </w:tr>
    </w:tbl>
    <w:p>
      <w:pPr>
        <w:spacing w:after="0"/>
      </w:pPr>
    </w:p>
    <w:p>
      <w:pPr>
        <w:tabs>
          <w:tab w:pos="648" w:val="left"/>
        </w:tabs>
        <w:ind w:left="648" w:hanging="648"/>
        <w:jc w:val="both"/>
      </w:pPr>
      <w:r>
        <w:t>48.</w:t>
        <w:tab/>
        <w:t>No claims have been raised against the company under the Micro, Small and Medium Enterprises Development Act, 2006 for interest on delayed payments.</w:t>
      </w:r>
    </w:p>
    <w:p>
      <w:pPr>
        <w:tabs>
          <w:tab w:pos="648" w:val="left"/>
        </w:tabs>
        <w:ind w:left="648" w:hanging="648"/>
        <w:jc w:val="both"/>
      </w:pPr>
      <w:r>
        <w:t>49.</w:t>
        <w:tab/>
        <w:t>The company does not have any long-term contracts requiring a provision for material foreseeable losses.</w:t>
      </w:r>
    </w:p>
    <w:p>
      <w:pPr>
        <w:tabs>
          <w:tab w:pos="648" w:val="left"/>
        </w:tabs>
        <w:ind w:left="648" w:hanging="648"/>
        <w:jc w:val="both"/>
      </w:pPr>
      <w:r>
        <w:t>50.</w:t>
        <w:tab/>
        <w:t>The company does not have any amounts required to be transferred to the Investor Education and Protection Fund.</w:t>
      </w:r>
    </w:p>
    <w:p>
      <w:pPr>
        <w:tabs>
          <w:tab w:pos="648" w:val="left"/>
        </w:tabs>
        <w:ind w:left="648" w:hanging="648"/>
        <w:jc w:val="both"/>
      </w:pPr>
      <w:r>
        <w:t>51.</w:t>
        <w:tab/>
        <w:t>The company is not required to maintain cost records as prescribed by the Central Government under section 148(1) of the Companies Act, 2013.</w:t>
      </w:r>
    </w:p>
    <w:p>
      <w:pPr>
        <w:tabs>
          <w:tab w:pos="648" w:val="left"/>
        </w:tabs>
        <w:ind w:left="648" w:hanging="648"/>
        <w:jc w:val="both"/>
      </w:pPr>
      <w:r>
        <w:t>52.</w:t>
        <w:tab/>
        <w:t>The company has not had any transaction with struck-off companies.</w:t>
      </w:r>
    </w:p>
    <w:p>
      <w:pPr>
        <w:tabs>
          <w:tab w:pos="648" w:val="left"/>
        </w:tabs>
        <w:ind w:left="648" w:hanging="648"/>
        <w:jc w:val="both"/>
      </w:pPr>
      <w:r>
        <w:t>53.</w:t>
        <w:tab/>
        <w:t>The company has not acted as an 'intermediary' for receiving, advancing or investing monies to or in any other entity.</w:t>
      </w:r>
    </w:p>
    <w:p>
      <w:pPr>
        <w:tabs>
          <w:tab w:pos="648" w:val="left"/>
        </w:tabs>
        <w:ind w:left="648" w:hanging="648"/>
        <w:jc w:val="both"/>
      </w:pPr>
      <w:r>
        <w:t>54.</w:t>
        <w:tab/>
        <w:t>The provisions of section 135 of the Act are not applicable to the company.</w:t>
      </w:r>
    </w:p>
    <w:p>
      <w:pPr>
        <w:tabs>
          <w:tab w:pos="648" w:val="left"/>
        </w:tabs>
        <w:ind w:left="648" w:hanging="648"/>
        <w:jc w:val="both"/>
      </w:pPr>
      <w:r>
        <w:t>55.</w:t>
        <w:tab/>
        <w:t>The company has not had any crypto currency or virtual currency transactions during the year.</w:t>
      </w:r>
    </w:p>
    <w:p>
      <w:pPr>
        <w:tabs>
          <w:tab w:pos="648" w:val="left"/>
        </w:tabs>
        <w:ind w:left="648" w:hanging="648"/>
        <w:jc w:val="both"/>
      </w:pPr>
      <w:r>
        <w:t>56.</w:t>
        <w:tab/>
        <w:t>No unrecorded income has been surrendered or disclosed in any assessment during the year under the Income Tax Act, 1961.</w:t>
      </w:r>
    </w:p>
    <w:p>
      <w:pPr>
        <w:tabs>
          <w:tab w:pos="648" w:val="left"/>
        </w:tabs>
        <w:ind w:left="648" w:hanging="648"/>
        <w:jc w:val="both"/>
      </w:pPr>
      <w:r>
        <w:t>57.</w:t>
        <w:tab/>
        <w:t>The company is capable of meeting its liabilities falling due within a period of one year from the Balance Sheet date, and the management does not see any material uncertainty in this regard.</w:t>
      </w:r>
    </w:p>
    <w:p>
      <w:pPr>
        <w:tabs>
          <w:tab w:pos="648" w:val="left"/>
        </w:tabs>
        <w:ind w:left="648" w:hanging="648"/>
        <w:jc w:val="both"/>
      </w:pPr>
      <w:r>
        <w:t>58.</w:t>
        <w:tab/>
        <w:t>The company has used accounting software for maintaining its books of account for the financial year ended 31st March 2026, which has a feature of recording audit trail (edit log) facility, and the same has operated throughout the year for all relevant transactions recorded in the software. The audit trail feature has not been disabled or tampered with, and the audit trail has been preserved as per the statutory requirements for record retention.</w:t>
      </w:r>
    </w:p>
    <w:p>
      <w:pPr>
        <w:keepNext/>
        <w:spacing w:before="120"/>
      </w:pPr>
      <w:r>
        <w:rPr>
          <w:b/>
          <w:u w:val="none"/>
        </w:rPr>
        <w:t>Information Provided</w:t>
      </w:r>
    </w:p>
    <w:p>
      <w:pPr>
        <w:tabs>
          <w:tab w:pos="648" w:val="left"/>
        </w:tabs>
        <w:ind w:left="648" w:hanging="648"/>
        <w:jc w:val="both"/>
      </w:pPr>
      <w:r>
        <w:t>59.</w:t>
        <w:tab/>
        <w:t>We have provided you with:</w:t>
      </w:r>
    </w:p>
    <w:p>
      <w:pPr>
        <w:tabs>
          <w:tab w:pos="1296" w:val="left"/>
        </w:tabs>
        <w:ind w:left="1296" w:hanging="648"/>
        <w:jc w:val="both"/>
      </w:pPr>
      <w:r>
        <w:t>(a)</w:t>
        <w:tab/>
        <w:t>all information, such as records, documentation and other matters, that is relevant to the preparation and presentation of the financial statements;</w:t>
      </w:r>
    </w:p>
    <w:p>
      <w:pPr>
        <w:tabs>
          <w:tab w:pos="1296" w:val="left"/>
        </w:tabs>
        <w:ind w:left="1296" w:hanging="648"/>
        <w:jc w:val="both"/>
      </w:pPr>
      <w:r>
        <w:t>(b)</w:t>
        <w:tab/>
        <w:t>additional information that you have requested from us; and</w:t>
      </w:r>
    </w:p>
    <w:p>
      <w:pPr>
        <w:tabs>
          <w:tab w:pos="1296" w:val="left"/>
        </w:tabs>
        <w:ind w:left="1296" w:hanging="648"/>
        <w:jc w:val="both"/>
      </w:pPr>
      <w:r>
        <w:t>(c)</w:t>
        <w:tab/>
        <w:t>unrestricted access to those within the entity.</w:t>
      </w:r>
    </w:p>
    <w:p>
      <w:pPr>
        <w:tabs>
          <w:tab w:pos="648" w:val="left"/>
        </w:tabs>
        <w:ind w:left="648" w:hanging="648"/>
        <w:jc w:val="both"/>
      </w:pPr>
      <w:r>
        <w:t>60.</w:t>
        <w:tab/>
        <w:t>All transactions have been recorded in the accounting records and are reflected in the financial statements.</w:t>
      </w:r>
    </w:p>
    <w:p>
      <w:pPr>
        <w:tabs>
          <w:tab w:pos="648" w:val="left"/>
        </w:tabs>
        <w:ind w:left="648" w:hanging="648"/>
        <w:jc w:val="both"/>
      </w:pPr>
      <w:r>
        <w:t>61.</w:t>
        <w:tab/>
        <w:t>We have disclosed to you all information in relation to fraud or suspected fraud that we are aware of and that affects the entity and involves:</w:t>
      </w:r>
    </w:p>
    <w:p>
      <w:pPr>
        <w:tabs>
          <w:tab w:pos="1296" w:val="left"/>
        </w:tabs>
        <w:ind w:left="1296" w:hanging="648"/>
        <w:jc w:val="both"/>
      </w:pPr>
      <w:r>
        <w:t>(a)</w:t>
        <w:tab/>
        <w:t>management;</w:t>
      </w:r>
    </w:p>
    <w:p>
      <w:pPr>
        <w:tabs>
          <w:tab w:pos="1296" w:val="left"/>
        </w:tabs>
        <w:ind w:left="1296" w:hanging="648"/>
        <w:jc w:val="both"/>
      </w:pPr>
      <w:r>
        <w:t>(b)</w:t>
        <w:tab/>
        <w:t>employees who have significant roles in internal control; or</w:t>
      </w:r>
    </w:p>
    <w:p>
      <w:pPr>
        <w:tabs>
          <w:tab w:pos="1296" w:val="left"/>
        </w:tabs>
        <w:ind w:left="1296" w:hanging="648"/>
        <w:jc w:val="both"/>
      </w:pPr>
      <w:r>
        <w:t>(c)</w:t>
        <w:tab/>
        <w:t>others where the fraud could have a material effect on the financial statements.</w:t>
      </w:r>
    </w:p>
    <w:p>
      <w:pPr>
        <w:tabs>
          <w:tab w:pos="648" w:val="left"/>
        </w:tabs>
        <w:ind w:left="648" w:hanging="648"/>
        <w:jc w:val="both"/>
      </w:pPr>
      <w:r>
        <w:t>62.</w:t>
        <w:tab/>
        <w:t>We have disclosed to you all information in relation to allegations of fraud, or suspected fraud, affecting the entity's financial statements communicated by employees, former employees, analysts, regulators or others.</w:t>
      </w:r>
    </w:p>
    <w:p>
      <w:pPr>
        <w:tabs>
          <w:tab w:pos="648" w:val="left"/>
        </w:tabs>
        <w:ind w:left="648" w:hanging="648"/>
        <w:jc w:val="both"/>
      </w:pPr>
      <w:r>
        <w:t>63.</w:t>
        <w:tab/>
        <w:t>We have disclosed to you all known instances of non-compliance or suspected non-compliance with laws and regulations whose effects should be considered when preparing financial statements.</w:t>
      </w:r>
    </w:p>
    <w:p>
      <w:pPr>
        <w:tabs>
          <w:tab w:pos="648" w:val="left"/>
        </w:tabs>
        <w:ind w:left="648" w:hanging="648"/>
        <w:jc w:val="both"/>
      </w:pPr>
      <w:r>
        <w:t>64.</w:t>
        <w:tab/>
        <w:t>We have disclosed to you the identity of the entity's related parties and all the related party relationships and transactions of which we are aware.</w:t>
      </w:r>
    </w:p>
    <w:p>
      <w:pPr>
        <w:jc w:val="both"/>
      </w:pPr>
      <w:r>
        <w:t>Yours faithfully,</w:t>
      </w:r>
    </w:p>
    <w:p>
      <w:pPr>
        <w:spacing w:after="0"/>
      </w:pPr>
      <w:r>
        <w:t>For MEENAKSHI TEXTILE TRADERS PRIVATE LIMITED</w:t>
      </w:r>
    </w:p>
    <w:p>
      <w:pPr>
        <w:spacing w:after="0"/>
      </w:pPr>
    </w:p>
    <w:tbl>
      <w:tblPr>
        <w:tblW w:type="auto" w:w="0"/>
        <w:tblLook w:firstColumn="1" w:firstRow="1" w:lastColumn="0" w:lastRow="0" w:noHBand="0" w:noVBand="1" w:val="04A0"/>
      </w:tblPr>
      <w:tblGrid>
        <w:gridCol w:w="4658"/>
        <w:gridCol w:w="4658"/>
      </w:tblGrid>
      <w:tr>
        <w:tc>
          <w:tcPr>
            <w:tcW w:type="dxa" w:w="4658"/>
          </w:tcPr>
          <w:p>
            <w:pPr>
              <w:spacing w:after="0"/>
            </w:pPr>
            <w:r/>
          </w:p>
          <w:p>
            <w:pPr>
              <w:spacing w:after="0"/>
            </w:pPr>
          </w:p>
          <w:p>
            <w:pPr>
              <w:spacing w:after="0"/>
            </w:pPr>
            <w:r>
              <w:t>KARTHIK SUNDARAM</w:t>
            </w:r>
          </w:p>
          <w:p>
            <w:pPr>
              <w:spacing w:after="0"/>
            </w:pPr>
            <w:r>
              <w:t>Director</w:t>
            </w:r>
          </w:p>
          <w:p>
            <w:pPr>
              <w:spacing w:after="0"/>
            </w:pPr>
            <w:r>
              <w:t>DIN: 01234567</w:t>
            </w:r>
          </w:p>
        </w:tc>
        <w:tc>
          <w:tcPr>
            <w:tcW w:type="dxa" w:w="4658"/>
          </w:tcPr>
          <w:p>
            <w:pPr>
              <w:spacing w:after="0"/>
            </w:pPr>
            <w:r/>
          </w:p>
          <w:p>
            <w:pPr>
              <w:spacing w:after="0"/>
            </w:pPr>
          </w:p>
          <w:p>
            <w:pPr>
              <w:spacing w:after="0"/>
            </w:pPr>
            <w:r>
              <w:t>VALLIAMMAI RAMANATHAN</w:t>
            </w:r>
          </w:p>
          <w:p>
            <w:pPr>
              <w:spacing w:after="0"/>
            </w:pPr>
            <w:r>
              <w:t>Managing Director</w:t>
            </w:r>
          </w:p>
          <w:p>
            <w:pPr>
              <w:spacing w:after="0"/>
            </w:pPr>
            <w:r>
              <w:t>DIN: 07654321</w:t>
            </w:r>
          </w:p>
        </w:tc>
      </w:tr>
    </w:tbl>
    <w:p/>
    <w:sectPr w:rsidR="00FC693F" w:rsidRPr="0006063C" w:rsidSect="00034616">
      <w:headerReference w:type="default" r:id="rId9"/>
      <w:pgSz w:w="11909" w:h="16834"/>
      <w:pgMar w:top="1008"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b/>
        <w:sz w:val="28"/>
      </w:rPr>
      <w:t>MEENAKSHI TEXTILE TRADERS PRIVATE LIMITED</w:t>
    </w:r>
  </w:p>
  <w:p>
    <w:pPr>
      <w:spacing w:after="0"/>
      <w:jc w:val="center"/>
    </w:pPr>
    <w:r>
      <w:rPr>
        <w:sz w:val="18"/>
      </w:rPr>
      <w:t>CIN: U74999TN2019PTC123456</w:t>
    </w:r>
  </w:p>
  <w:p>
    <w:pPr>
      <w:spacing w:after="0"/>
      <w:jc w:val="center"/>
      <w:pBdr>
        <w:bottom w:val="single" w:sz="8" w:space="4" w:color="808080"/>
      </w:pBdr>
    </w:pPr>
    <w:r>
      <w:rPr>
        <w:sz w:val="18"/>
      </w:rPr>
      <w:t>NO 12, SOUTH MASI STREET, MADURAI, Tamil Nadu, India, 625001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