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37e"/>
          <w:sz w:val="40"/>
          <w:szCs w:val="40"/>
        </w:rPr>
        <w:t xml:space="preserve">Tax Notice Litigation Assistant</w:t>
      </w:r>
    </w:p>
    <w:p>
      <w:pPr>
        <w:spacing w:after="40"/>
        <w:jc w:val="center"/>
      </w:pPr>
      <w:r>
        <w:rPr>
          <w:color w:val="374151"/>
          <w:sz w:val="24"/>
          <w:szCs w:val="24"/>
        </w:rPr>
        <w:t xml:space="preserve">AICA Level 2 Capstone — Demo Video Script &amp; Pre-Recording Verification</w:t>
      </w:r>
    </w:p>
    <w:p>
      <w:pPr>
        <w:spacing w:after="300"/>
        <w:jc w:val="center"/>
      </w:pPr>
      <w:r>
        <w:rPr>
          <w:i/>
          <w:iCs/>
          <w:color w:val="6b7280"/>
          <w:sz w:val="20"/>
          <w:szCs w:val="20"/>
        </w:rPr>
        <w:t xml:space="preserve">Presenter: [Your Name]  |  R K Muley &amp; Co  |  Target run time: 5–7 minutes</w:t>
      </w:r>
    </w:p>
    <w:p>
      <w:pPr>
        <w:pBdr>
          <w:bottom w:val="single" w:color="999999" w:sz="6"/>
        </w:pBdr>
        <w:spacing w:after="200" w:before="120"/>
      </w:pPr>
    </w:p>
    <w:p>
      <w:pPr>
        <w:pStyle w:val="Heading1"/>
        <w:spacing w:after="160" w:before="360"/>
      </w:pPr>
      <w:r>
        <w:t xml:space="preserve">Part A — Pre-Recording Verification (what was actually checked)</w:t>
      </w:r>
    </w:p>
    <w:p>
      <w:pPr>
        <w:spacing w:after="160" w:line="300"/>
      </w:pPr>
      <w:r>
        <w:t xml:space="preserve">Before scripting the walkthrough, the application's source code and its own runtime logs were reviewed to confirm three things the video needs to demonstrate credibly, rather than assert: that the app runs end to end, that PII masking genuinely happens before text reaches Gemini, and that the supporting modules do real work rather than existing as UI stubs. Summary of findings below — you can cite these numbers on camera.</w:t>
      </w:r>
    </w:p>
    <w:p>
      <w:pPr>
        <w:pStyle w:val="Heading2"/>
        <w:spacing w:after="120" w:before="260"/>
      </w:pPr>
      <w:r>
        <w:t xml:space="preserve">1. The app runs end to end</w:t>
      </w:r>
    </w:p>
    <w:p>
      <w:pPr>
        <w:spacing w:after="160" w:line="300"/>
      </w:pPr>
      <w:r>
        <w:t xml:space="preserve">rkmuley_v9.log shows real Gemini API calls succeeding on 17 August 2026 for the extraction, drafting, and cover-note steps, each returning HTTP 200 OK (an earlier run on 11 May 2026 hit the Gemini free-tier's 20-requests/day cap and returned 429 errors — see the warning in Part B). streamlit_stdout.log confirms the server started cleanly at http://localhost:8501.</w:t>
      </w:r>
    </w:p>
    <w:p>
      <w:pPr>
        <w:pStyle w:val="Heading2"/>
        <w:spacing w:after="120" w:before="260"/>
      </w:pPr>
      <w:r>
        <w:t xml:space="preserve">2. The automated test suite passes — 16 of 16</w:t>
      </w:r>
    </w:p>
    <w:p>
      <w:pPr>
        <w:spacing w:after="160" w:line="300"/>
      </w:pPr>
      <w:r>
        <w:t xml:space="preserve">The project ships three pytest files (tests/test_v9_quality.py, test_database_integration.py, test_workflows_verification.py). Reinstalling the dependency stack from requirements.txt into a clean environment, initialising the SQLite schema the same way app.py does at startup, and running the full suite gives:</w:t>
      </w:r>
    </w:p>
    <w:p>
      <w:pPr>
        <w:spacing w:after="160" w:line="300"/>
      </w:pPr>
      <w:r>
        <w:rPr>
          <w:b/>
          <w:bCs/>
          <w:color w:val="166534"/>
        </w:rPr>
        <w:t xml:space="preserve">16 passed, 0 failed</w:t>
      </w:r>
    </w:p>
    <w:p>
      <w:pPr>
        <w:spacing w:after="160" w:line="300"/>
      </w:pPr>
      <w:r>
        <w:t xml:space="preserve">This includes test_pii_masking_core_ids, which asserts PAN, GSTIN, Aadhaar, mobile number, email, IFSC, CIN, TAN and bank account number are all absent from the text after masking, and test_auth_and_lockout, which exercises the RBAC login path end to end with real bcrypt verification.</w:t>
      </w:r>
    </w:p>
    <w:p>
      <w:pPr>
        <w:pStyle w:val="Heading2"/>
        <w:spacing w:after="120" w:before="260"/>
      </w:pPr>
      <w:r>
        <w:t xml:space="preserve">3. PII masking is real, layered, and runs before every single LLM call</w:t>
      </w:r>
    </w:p>
    <w:p>
      <w:pPr>
        <w:spacing w:after="160" w:line="300"/>
      </w:pPr>
      <w:r>
        <w:t xml:space="preserve">redact_sensitive_text_for_ai() in app.py runs two deterministic passes: regex matching across nine structured identifiers (PAN, TAN, GSTIN, Aadhaar, email, mobile, IFSC, CIN, bank account), plus field-level pattern matching on Taxpayer Name, Father's Name and Address lines — followed by an optional Microsoft Presidio NER pass that catches free-text person and location names the regex would miss (confirmed loaded and active in this installation's logs). A second function, anonymise_prompt_identity(), additionally swaps the known assessee name and PAN for placeholder tokens before any prompt is assembled.</w:t>
      </w:r>
    </w:p>
    <w:p>
      <w:pPr>
        <w:spacing w:after="160" w:line="300"/>
      </w:pPr>
      <w:r>
        <w:t xml:space="preserve">This pair is invoked before every one of the app's Gemini calls — notice extraction, the main draft, the cover note, penalty proceedings, Form 35 appeal drafting, the ITAT notice response, and the Pass E hallucination self-review — not only the first upload step. Local storage is masked too: notice_store persists the masked extraction, masked draft, and masked PAN, never the raw values; generation_log stores only a SHA-256 hash of every prompt and response, never the text itself.</w:t>
      </w:r>
    </w:p>
    <w:p>
      <w:pPr>
        <w:pStyle w:val="Heading2"/>
        <w:spacing w:after="120" w:before="260"/>
      </w:pPr>
      <w:r>
        <w:t xml:space="preserve">4. One honest caveat to mention on camera</w:t>
      </w:r>
    </w:p>
    <w:p>
      <w:pPr>
        <w:spacing w:after="160" w:line="300"/>
      </w:pPr>
      <w:r>
        <w:t xml:space="preserve">The Presidio NER layer (catches names in free-flowing prose, outside a labelled field) is listed as optional in requirements.txt and is commented out there — it is active in this installation because it happens to be installed, but a fresh install without presidio-analyzer / presidio-anonymizer / spacy would fall back to the regex and field-pattern layers only. Those two layers already catch every structured identifier and the explicit Name/Address/Father's-Name fields, so the core guarantee — no PAN, Aadhaar, GSTIN, email, mobile, bank account or CIN reaches Google's servers — holds either way. Naming this limitation briefly, rather than glossing over it, reads as more credible to an examiner than implying blanket NER coverage.</w:t>
      </w:r>
    </w:p>
    <w:p>
      <w:pPr>
        <w:pStyle w:val="Heading2"/>
        <w:spacing w:after="120" w:before="260"/>
      </w:pPr>
      <w:r>
        <w:t xml:space="preserve">5. Scope note for the “Integration” section of the brief</w:t>
      </w:r>
    </w:p>
    <w:p>
      <w:pPr>
        <w:spacing w:after="160" w:line="300"/>
      </w:pPr>
      <w:r>
        <w:t xml:space="preserve">The PRD (section 6.2, Excluded from Version 9) explicitly scopes out true OCR for scanned/image PDFs and any live email or e-filing integration for this version. Document processing uses pypdf and pdfplumber, which extract text from digitally generated PDFs; a scanned notice needs OCR done externally first — the app's own error message says so. There is no email integration and no external API besides Gemini. Presenting this as a disclosed, deliberate scope decision (which is what the PRD actually says) is stronger than implying OCR/email support exists.</w:t>
      </w:r>
    </w:p>
    <w:p>
      <w:pPr>
        <w:pStyle w:val="Heading1"/>
        <w:spacing w:after="160" w:before="360"/>
      </w:pPr>
      <w:r>
        <w:t xml:space="preserve">Part B — Three things to fix before you hit record</w:t>
      </w:r>
    </w:p>
    <w:p>
      <w:pPr>
        <w:pStyle w:val="Heading2"/>
        <w:spacing w:after="120" w:before="260"/>
      </w:pPr>
      <w:r>
        <w:t xml:space="preserve">1. Use a synthetic notice, not a real client's</w:t>
      </w:r>
    </w:p>
    <w:p>
      <w:pPr>
        <w:spacing w:after="160" w:line="300"/>
      </w:pPr>
      <w:r>
        <w:t xml:space="preserve">PII masking protects what leaves the app for Gemini's servers — it says nothing about what's visible on your own screen. Since this video is going to YouTube (unlisted) or a Drive link set to “accessible to anyone,” any real client PAN, name, address or notice content visible during recording is a confidentiality and DPDP exposure that exists independently of anything the app does internally. Build a specimen notice with fictitious data before recording — fictitious name, a PAN that matches the pattern but isn't real (e.g. AAAPZ9999Z), a fictitious address — and say on camera that it's synthetic. That line alone signals professional judgment to an examiner.</w:t>
      </w:r>
    </w:p>
    <w:p>
      <w:pPr>
        <w:pStyle w:val="Heading2"/>
        <w:spacing w:after="120" w:before="260"/>
      </w:pPr>
      <w:r>
        <w:t xml:space="preserve">2. Check your Gemini quota headroom before the take you intend to keep</w:t>
      </w:r>
    </w:p>
    <w:p>
      <w:pPr>
        <w:spacing w:after="160" w:line="300"/>
      </w:pPr>
      <w:r>
        <w:t xml:space="preserve">The app's own log shows it has previously hit HTTP 429 RESOURCE_EXHAUSTED — the free tier caps gemini-2.5-flash at 20 requests/day. A full walkthrough (extraction + draft + cover note + Pass E review) can use four to six calls in one take. Do a dry run earlier in the day to confirm headroom, or keep gemini-2.0-flash-lite selected as a fallback model in the dropdown, before recording the take you plan to submit.</w:t>
      </w:r>
    </w:p>
    <w:p>
      <w:pPr>
        <w:pStyle w:val="Heading2"/>
        <w:spacing w:after="120" w:before="260"/>
      </w:pPr>
      <w:r>
        <w:t xml:space="preserve">3. Don't expose the admin password in frame</w:t>
      </w:r>
    </w:p>
    <w:p>
      <w:pPr>
        <w:spacing w:after="160" w:line="300"/>
      </w:pPr>
      <w:r>
        <w:t xml:space="preserve">Type credentials rather than reading them off a visible secrets.toml or notes file on screen. It's a demo login, but modelling clean security hygiene costs nothing and reads well in a security-and-privacy-themed capstone.</w:t>
      </w:r>
    </w:p>
    <w:p>
      <w:pPr>
        <w:pStyle w:val="Heading1"/>
        <w:spacing w:after="160" w:before="360"/>
      </w:pPr>
      <w:r>
        <w:t xml:space="preserve">Part C — 7-Minute Demo Script</w:t>
      </w:r>
    </w:p>
    <w:p>
      <w:pPr>
        <w:spacing w:after="160" w:line="300"/>
      </w:pPr>
      <w:r>
        <w:t xml:space="preserve">This is a speaking guide, not a script to read verbatim — paraphrase it in your own words so it sounds natural and your facial expression stays engaged (the brief requires both face and technical content to be visible throughout, not alternating). Timestamps assume a steady, unhurried pace; if your take runs long, trim the Legal Research and Backend segments first — Integration and AI Analysis carry more of the technical weight an examiner looks for.</w:t>
      </w:r>
    </w:p>
    <w:p>
      <w:pPr>
        <w:pStyle w:val="Heading2"/>
        <w:spacing w:after="100" w:before="300"/>
      </w:pPr>
      <w:r>
        <w:rPr>
          <w:b/>
          <w:bCs/>
          <w:color w:val="b45309"/>
        </w:rPr>
        <w:t xml:space="preserve">0:00 – 0:25   </w:t>
      </w:r>
      <w:r>
        <w:t xml:space="preserve">1. Introduction</w:t>
      </w:r>
    </w:p>
    <w:p>
      <w:pPr>
        <w:spacing w:after="80" w:line="280"/>
        <w:ind w:left="360"/>
      </w:pPr>
      <w:r>
        <w:rPr>
          <w:b/>
          <w:bCs/>
          <w:color w:val="1a237e"/>
        </w:rPr>
        <w:t xml:space="preserve">ON SCREEN:  </w:t>
      </w:r>
      <w:r>
        <w:t xml:space="preserve">Face on camera, full frame or a title card with the app name behind you.</w:t>
      </w:r>
    </w:p>
    <w:p>
      <w:pPr>
        <w:spacing w:after="220" w:line="300"/>
        <w:ind w:left="360"/>
      </w:pPr>
      <w:r>
        <w:rPr>
          <w:b/>
          <w:bCs/>
          <w:color w:val="8a5a00"/>
        </w:rPr>
        <w:t xml:space="preserve">SAY:  </w:t>
      </w:r>
      <w:r>
        <w:rPr>
          <w:i/>
          <w:iCs/>
        </w:rPr>
        <w:t xml:space="preserve">Hello, I'm [Your Name], a Chartered Accountant, and this is my AICA Level 2 capstone — the Tax Notice Litigation Assistant, built for R K Muley &amp; Co's tax litigation practice. It takes a CA firm from receiving an income-tax notice to a reviewed, procedurally sound reply, using Gemini as the drafting engine and a dedicated privacy layer that keeps client data out of the AI's hands.</w:t>
      </w:r>
    </w:p>
    <w:p>
      <w:pPr>
        <w:pStyle w:val="Heading2"/>
        <w:spacing w:after="100" w:before="300"/>
      </w:pPr>
      <w:r>
        <w:rPr>
          <w:b/>
          <w:bCs/>
          <w:color w:val="b45309"/>
        </w:rPr>
        <w:t xml:space="preserve">0:25 – 1:35   </w:t>
      </w:r>
      <w:r>
        <w:t xml:space="preserve">2. Problem Statement, PII Masking &amp; the DPDP Act</w:t>
      </w:r>
    </w:p>
    <w:p>
      <w:pPr>
        <w:spacing w:after="80" w:line="280"/>
        <w:ind w:left="360"/>
      </w:pPr>
      <w:r>
        <w:rPr>
          <w:b/>
          <w:bCs/>
          <w:color w:val="1a237e"/>
        </w:rPr>
        <w:t xml:space="preserve">ON SCREEN:  </w:t>
      </w:r>
      <w:r>
        <w:t xml:space="preserve">Face on camera; optionally a slide with the PRD's problem-statement bullets.</w:t>
      </w:r>
    </w:p>
    <w:p>
      <w:pPr>
        <w:spacing w:after="220" w:line="300"/>
        <w:ind w:left="360"/>
      </w:pPr>
      <w:r>
        <w:rPr>
          <w:b/>
          <w:bCs/>
          <w:color w:val="8a5a00"/>
        </w:rPr>
        <w:t xml:space="preserve">SAY:  </w:t>
      </w:r>
      <w:r>
        <w:rPr>
          <w:i/>
          <w:iCs/>
        </w:rPr>
        <w:t xml:space="preserve">Tax litigation work in a CA firm is repetitive but high-risk. Every notice needs the DIN, dates, sections and quantum extracted correctly; a procedural check for time-bar, faceless-assessment compliance and vague penalty grounds; issue-wise facts collected from the client; case law cited carefully; and a first-person reply formatted for the income-tax portal — without missing a limitation date. Doing this by hand is slow, inconsistent across staff, and depends too heavily on one senior CA's time.</w:t>
      </w:r>
    </w:p>
    <w:p>
      <w:pPr>
        <w:spacing w:after="220" w:line="300"/>
        <w:ind w:left="360"/>
      </w:pPr>
      <w:r>
        <w:rPr>
          <w:b/>
          <w:bCs/>
          <w:color w:val="8a5a00"/>
        </w:rPr>
        <w:t xml:space="preserve">SAY:  </w:t>
      </w:r>
      <w:r>
        <w:rPr>
          <w:i/>
          <w:iCs/>
        </w:rPr>
        <w:t xml:space="preserve">The obvious fix is to let an LLM draft it. The obvious risk is that a client's PAN, Aadhaar, GSTIN, bank details, name and address would otherwise go straight into a third-party API. Under the Digital Personal Data Protection Act, 2023, a firm handling that data is acting as a Data Fiduciary, with a duty of data minimisation and reasonable security safeguards. So before any text leaves this app, it passes through a redaction layer — I'll show you that running live in a minute, not just describe it.</w:t>
      </w:r>
    </w:p>
    <w:p>
      <w:pPr>
        <w:pStyle w:val="Heading2"/>
        <w:spacing w:after="100" w:before="300"/>
      </w:pPr>
      <w:r>
        <w:rPr>
          <w:b/>
          <w:bCs/>
          <w:color w:val="b45309"/>
        </w:rPr>
        <w:t xml:space="preserve">1:35 – 2:00   </w:t>
      </w:r>
      <w:r>
        <w:t xml:space="preserve">3. Dashboard (Front End)</w:t>
      </w:r>
    </w:p>
    <w:p>
      <w:pPr>
        <w:spacing w:after="80" w:line="280"/>
        <w:ind w:left="360"/>
      </w:pPr>
      <w:r>
        <w:rPr>
          <w:b/>
          <w:bCs/>
          <w:color w:val="1a237e"/>
        </w:rPr>
        <w:t xml:space="preserve">ON SCREEN:  </w:t>
      </w:r>
      <w:r>
        <w:t xml:space="preserve">Screen-share the Streamlit sidebar: Upload &amp; Extract, Review Issues, Your Inputs, Draft &amp; Download, Procedural Audit, Risk Checker &amp; Scores, CA Knowledge Vault, System Health.</w:t>
      </w:r>
    </w:p>
    <w:p>
      <w:pPr>
        <w:spacing w:after="220" w:line="300"/>
        <w:ind w:left="360"/>
      </w:pPr>
      <w:r>
        <w:rPr>
          <w:b/>
          <w:bCs/>
          <w:color w:val="8a5a00"/>
        </w:rPr>
        <w:t xml:space="preserve">SAY:  </w:t>
      </w:r>
      <w:r>
        <w:rPr>
          <w:i/>
          <w:iCs/>
        </w:rPr>
        <w:t xml:space="preserve">The front end is Streamlit — a step-based workflow down the sidebar: Upload and Extract, Review Issues, Your Inputs, Draft and Download, Procedural Audit, Risk Checker and Scores, the CA Knowledge Vault, and System Health. Which tabs you see depends on your role — an article assistant doesn't get the Risk Checker, Vault or System Health screens; only a CA or Partner login does. That's role-based access control enforced in code, not just a hidden menu.</w:t>
      </w:r>
    </w:p>
    <w:p>
      <w:pPr>
        <w:pStyle w:val="Heading2"/>
        <w:spacing w:after="100" w:before="300"/>
      </w:pPr>
      <w:r>
        <w:rPr>
          <w:b/>
          <w:bCs/>
          <w:color w:val="b45309"/>
        </w:rPr>
        <w:t xml:space="preserve">2:00 – 2:35   </w:t>
      </w:r>
      <w:r>
        <w:t xml:space="preserve">4. Backend — Business Logic, Auth, Workflow</w:t>
      </w:r>
    </w:p>
    <w:p>
      <w:pPr>
        <w:spacing w:after="80" w:line="280"/>
        <w:ind w:left="360"/>
      </w:pPr>
      <w:r>
        <w:rPr>
          <w:b/>
          <w:bCs/>
          <w:color w:val="1a237e"/>
        </w:rPr>
        <w:t xml:space="preserve">ON SCREEN:  </w:t>
      </w:r>
      <w:r>
        <w:t xml:space="preserve">Show the project file tree: app.py, config.py, security.py, database.py, services/, engines/.</w:t>
      </w:r>
    </w:p>
    <w:p>
      <w:pPr>
        <w:spacing w:after="220" w:line="300"/>
        <w:ind w:left="360"/>
      </w:pPr>
      <w:r>
        <w:rPr>
          <w:b/>
          <w:bCs/>
          <w:color w:val="8a5a00"/>
        </w:rPr>
        <w:t xml:space="preserve">SAY:  </w:t>
      </w:r>
      <w:r>
        <w:rPr>
          <w:i/>
          <w:iCs/>
        </w:rPr>
        <w:t xml:space="preserve">There's no separate REST API here — it's a single Streamlit process — but the code is layered properly. config.py holds constants, feature flags, and a 297-section Income-Tax Act index used for validation. security.py handles authentication with bcrypt password hashing and a five-attempt, fifteen-minute lockout. database.py owns all SQL. Services and engines hold the AI calls and the business-logic checks separately. The one real external endpoint this app calls is Google's Gemini generateContent API, wrapped in a retry-with-backoff layer using tenacity, so a transient network failure doesn't just crash the workflow.</w:t>
      </w:r>
    </w:p>
    <w:p>
      <w:pPr>
        <w:pStyle w:val="Heading2"/>
        <w:spacing w:after="100" w:before="300"/>
      </w:pPr>
      <w:r>
        <w:rPr>
          <w:b/>
          <w:bCs/>
          <w:color w:val="b45309"/>
        </w:rPr>
        <w:t xml:space="preserve">2:35 – 3:00   </w:t>
      </w:r>
      <w:r>
        <w:t xml:space="preserve">5. Database</w:t>
      </w:r>
    </w:p>
    <w:p>
      <w:pPr>
        <w:spacing w:after="80" w:line="280"/>
        <w:ind w:left="360"/>
      </w:pPr>
      <w:r>
        <w:rPr>
          <w:b/>
          <w:bCs/>
          <w:color w:val="1a237e"/>
        </w:rPr>
        <w:t xml:space="preserve">ON SCREEN:  </w:t>
      </w:r>
      <w:r>
        <w:t xml:space="preserve">Show the schema — either the System Health tab's table list, or the .db file opened in a SQLite browser.</w:t>
      </w:r>
    </w:p>
    <w:p>
      <w:pPr>
        <w:spacing w:after="220" w:line="300"/>
        <w:ind w:left="360"/>
      </w:pPr>
      <w:r>
        <w:rPr>
          <w:b/>
          <w:bCs/>
          <w:color w:val="8a5a00"/>
        </w:rPr>
        <w:t xml:space="preserve">SAY:  </w:t>
      </w:r>
      <w:r>
        <w:rPr>
          <w:i/>
          <w:iCs/>
        </w:rPr>
        <w:t xml:space="preserve">Storage is SQLite by default, with SQLAlchemy wired in for a drop-in move to PostgreSQL later. Seven tables: users, audit_trail, notice_store, ca_vault, deadline_tracker, generation_log, and session_store. Notice_store holds the extraction, draft and cover note — but only the masked versions — and generation_log stores just a SHA-256 hash of every prompt and response, not the text, so even the audit trail can't leak client data.</w:t>
      </w:r>
    </w:p>
    <w:p>
      <w:pPr>
        <w:pStyle w:val="Heading2"/>
        <w:spacing w:after="100" w:before="300"/>
      </w:pPr>
      <w:r>
        <w:rPr>
          <w:b/>
          <w:bCs/>
          <w:color w:val="b45309"/>
        </w:rPr>
        <w:t xml:space="preserve">3:00 – 3:35   </w:t>
      </w:r>
      <w:r>
        <w:t xml:space="preserve">6. Integration — LLM, Document Processing, Legal Research</w:t>
      </w:r>
    </w:p>
    <w:p>
      <w:pPr>
        <w:spacing w:after="80" w:line="280"/>
        <w:ind w:left="360"/>
      </w:pPr>
      <w:r>
        <w:rPr>
          <w:b/>
          <w:bCs/>
          <w:color w:val="1a237e"/>
        </w:rPr>
        <w:t xml:space="preserve">ON SCREEN:  </w:t>
      </w:r>
      <w:r>
        <w:t xml:space="preserve">Briefly show services/gemini_service.py and data/case_laws.py in the editor.</w:t>
      </w:r>
    </w:p>
    <w:p>
      <w:pPr>
        <w:spacing w:after="220" w:line="300"/>
        <w:ind w:left="360"/>
      </w:pPr>
      <w:r>
        <w:rPr>
          <w:b/>
          <w:bCs/>
          <w:color w:val="8a5a00"/>
        </w:rPr>
        <w:t xml:space="preserve">SAY:  </w:t>
      </w:r>
      <w:r>
        <w:rPr>
          <w:i/>
          <w:iCs/>
        </w:rPr>
        <w:t xml:space="preserve">On integrations: the LLM is Gemini 2.5 Flash or Pro through Google's official SDK. Document processing uses pypdf and pdfplumber for text-layer PDFs — a genuinely scanned notice needs OCR done externally first; the app tells you that rather than pretending to handle it. Legal research runs off a curated, verified case-law library — close to a hundred kilobytes of citations mapped deterministically to issue types, with zero LLM guessing involved in the matching itself. There's deliberately no email or e-filing integration in this version — that's a scoped-out decision in the product requirements, not a missing feature.</w:t>
      </w:r>
    </w:p>
    <w:p>
      <w:pPr>
        <w:pStyle w:val="Heading2"/>
        <w:spacing w:after="100" w:before="300"/>
      </w:pPr>
      <w:r>
        <w:rPr>
          <w:b/>
          <w:bCs/>
          <w:color w:val="b45309"/>
        </w:rPr>
        <w:t xml:space="preserve">3:35 – 4:10   </w:t>
      </w:r>
      <w:r>
        <w:t xml:space="preserve">7. Document Upload</w:t>
      </w:r>
    </w:p>
    <w:p>
      <w:pPr>
        <w:spacing w:after="80" w:line="280"/>
        <w:ind w:left="360"/>
      </w:pPr>
      <w:r>
        <w:rPr>
          <w:b/>
          <w:bCs/>
          <w:color w:val="1a237e"/>
        </w:rPr>
        <w:t xml:space="preserve">ON SCREEN:  </w:t>
      </w:r>
      <w:r>
        <w:t xml:space="preserve">Paste or upload a synthetic sample notice under Section 143(2); select a Gemini model; click “Extract &amp; Analyse Notice.”</w:t>
      </w:r>
    </w:p>
    <w:p>
      <w:pPr>
        <w:spacing w:after="220" w:line="300"/>
        <w:ind w:left="360"/>
      </w:pPr>
      <w:r>
        <w:rPr>
          <w:b/>
          <w:bCs/>
          <w:color w:val="8a5a00"/>
        </w:rPr>
        <w:t xml:space="preserve">SAY:  </w:t>
      </w:r>
      <w:r>
        <w:rPr>
          <w:i/>
          <w:iCs/>
        </w:rPr>
        <w:t xml:space="preserve">Let's see it work. I'll paste in a sample notice — this is synthetic data, not a real client's — under Section 143(2). I select the Gemini model and click Extract and Analyse.</w:t>
      </w:r>
    </w:p>
    <w:p>
      <w:pPr>
        <w:pStyle w:val="Heading2"/>
        <w:spacing w:after="100" w:before="300"/>
      </w:pPr>
      <w:r>
        <w:rPr>
          <w:b/>
          <w:bCs/>
          <w:color w:val="b45309"/>
        </w:rPr>
        <w:t xml:space="preserve">4:10 – 4:55   </w:t>
      </w:r>
      <w:r>
        <w:t xml:space="preserve">8. AI Analysis (this is where you prove the masking claim)</w:t>
      </w:r>
    </w:p>
    <w:p>
      <w:pPr>
        <w:spacing w:after="80" w:line="280"/>
        <w:ind w:left="360"/>
      </w:pPr>
      <w:r>
        <w:rPr>
          <w:b/>
          <w:bCs/>
          <w:color w:val="1a237e"/>
        </w:rPr>
        <w:t xml:space="preserve">ON SCREEN:  </w:t>
      </w:r>
      <w:r>
        <w:t xml:space="preserve">Pause on the “Privacy guard active” banner with its redaction counts before moving to the extraction result and procedural-audit flags.</w:t>
      </w:r>
    </w:p>
    <w:p>
      <w:pPr>
        <w:spacing w:after="220" w:line="300"/>
        <w:ind w:left="360"/>
      </w:pPr>
      <w:r>
        <w:rPr>
          <w:b/>
          <w:bCs/>
          <w:color w:val="8a5a00"/>
        </w:rPr>
        <w:t xml:space="preserve">SAY:  </w:t>
      </w:r>
      <w:r>
        <w:rPr>
          <w:i/>
          <w:iCs/>
        </w:rPr>
        <w:t xml:space="preserve">Watch this banner — privacy guard active, direct identifiers redacted before API processing, with a count for each category it caught. That's the redaction running live, before this text goes anywhere near Gemini. Once that's done, the masked text goes out for extraction and comes back structured: assessment year, DIN, the section invoked, the issues raised. Below it, the procedural audit runs — this part is deterministic, no LLM involved — checking DIN format, limitation under section 149, and faceless-assessment compliance.</w:t>
      </w:r>
    </w:p>
    <w:p>
      <w:pPr>
        <w:pStyle w:val="Heading2"/>
        <w:spacing w:after="100" w:before="300"/>
      </w:pPr>
      <w:r>
        <w:rPr>
          <w:b/>
          <w:bCs/>
          <w:color w:val="b45309"/>
        </w:rPr>
        <w:t xml:space="preserve">4:55 – 5:25   </w:t>
      </w:r>
      <w:r>
        <w:t xml:space="preserve">9. Legal Research</w:t>
      </w:r>
    </w:p>
    <w:p>
      <w:pPr>
        <w:spacing w:after="80" w:line="280"/>
        <w:ind w:left="360"/>
      </w:pPr>
      <w:r>
        <w:rPr>
          <w:b/>
          <w:bCs/>
          <w:color w:val="1a237e"/>
        </w:rPr>
        <w:t xml:space="preserve">ON SCREEN:  </w:t>
      </w:r>
      <w:r>
        <w:t xml:space="preserve">Show the matched-case-law panel for the extracted issue.</w:t>
      </w:r>
    </w:p>
    <w:p>
      <w:pPr>
        <w:spacing w:after="220" w:line="300"/>
        <w:ind w:left="360"/>
      </w:pPr>
      <w:r>
        <w:rPr>
          <w:b/>
          <w:bCs/>
          <w:color w:val="8a5a00"/>
        </w:rPr>
        <w:t xml:space="preserve">SAY:  </w:t>
      </w:r>
      <w:r>
        <w:rPr>
          <w:i/>
          <w:iCs/>
        </w:rPr>
        <w:t xml:space="preserve">For each issue, the app pulls from the verified case-law library — here it's matched this section to a specific citation, with a clear note that anything outside that library is flagged as a suggested authority requiring independent verification before I'd ever cite it in an actual filing. That distinction matters professionally: I'm not asking the model to invent case law, I'm asking it to draft around case law I've already verified.</w:t>
      </w:r>
    </w:p>
    <w:p>
      <w:pPr>
        <w:pStyle w:val="Heading2"/>
        <w:spacing w:after="100" w:before="300"/>
      </w:pPr>
      <w:r>
        <w:rPr>
          <w:b/>
          <w:bCs/>
          <w:color w:val="b45309"/>
        </w:rPr>
        <w:t xml:space="preserve">5:25 – 6:05   </w:t>
      </w:r>
      <w:r>
        <w:t xml:space="preserve">10. AI Drafting</w:t>
      </w:r>
    </w:p>
    <w:p>
      <w:pPr>
        <w:spacing w:after="80" w:line="280"/>
        <w:ind w:left="360"/>
      </w:pPr>
      <w:r>
        <w:rPr>
          <w:b/>
          <w:bCs/>
          <w:color w:val="1a237e"/>
        </w:rPr>
        <w:t xml:space="preserve">ON SCREEN:  </w:t>
      </w:r>
      <w:r>
        <w:t xml:space="preserve">Fill in issue-wise facts under “Your Inputs,” click Draft, show the generated reply and the auto-generated cover note.</w:t>
      </w:r>
    </w:p>
    <w:p>
      <w:pPr>
        <w:spacing w:after="220" w:line="300"/>
        <w:ind w:left="360"/>
      </w:pPr>
      <w:r>
        <w:rPr>
          <w:b/>
          <w:bCs/>
          <w:color w:val="8a5a00"/>
        </w:rPr>
        <w:t xml:space="preserve">SAY:  </w:t>
      </w:r>
      <w:r>
        <w:rPr>
          <w:i/>
          <w:iCs/>
        </w:rPr>
        <w:t xml:space="preserve">Next I add my own facts for each issue — what actually happened, what evidence I have — and generate the draft. The system instruction behind this call is strict: only cite sections that exist in the Act, only use facts I've provided, write in first person for e-Proceedings, no markdown formatting. It also generates a short cover note automatically, and if the draft is too long for the portal's character limit, it auto-splits it into filing-ready parts.</w:t>
      </w:r>
    </w:p>
    <w:p>
      <w:pPr>
        <w:pStyle w:val="Heading2"/>
        <w:spacing w:after="100" w:before="300"/>
      </w:pPr>
      <w:r>
        <w:rPr>
          <w:b/>
          <w:bCs/>
          <w:color w:val="b45309"/>
        </w:rPr>
        <w:t xml:space="preserve">6:05 – 6:40   </w:t>
      </w:r>
      <w:r>
        <w:t xml:space="preserve">11. Human Review</w:t>
      </w:r>
    </w:p>
    <w:p>
      <w:pPr>
        <w:spacing w:after="80" w:line="280"/>
        <w:ind w:left="360"/>
      </w:pPr>
      <w:r>
        <w:rPr>
          <w:b/>
          <w:bCs/>
          <w:color w:val="1a237e"/>
        </w:rPr>
        <w:t xml:space="preserve">ON SCREEN:  </w:t>
      </w:r>
      <w:r>
        <w:t xml:space="preserve">Open Risk Checker &amp; Scores: show the Draft Risk Checker findings, the Reply Success Scorer breakdown, and run Pass E. Then show the editable draft box before download.</w:t>
      </w:r>
    </w:p>
    <w:p>
      <w:pPr>
        <w:spacing w:after="220" w:line="300"/>
        <w:ind w:left="360"/>
      </w:pPr>
      <w:r>
        <w:rPr>
          <w:b/>
          <w:bCs/>
          <w:color w:val="8a5a00"/>
        </w:rPr>
        <w:t xml:space="preserve">SAY:  </w:t>
      </w:r>
      <w:r>
        <w:rPr>
          <w:i/>
          <w:iCs/>
        </w:rPr>
        <w:t xml:space="preserve">Before anything goes out, it goes through review. The Draft Risk Checker runs seven checks — things like an accidental admission, a third-person slip, an invalid section reference. The Reply Success Scorer grades the draft across seven weighted dimensions. Pass E is an adversarial self-review — I ask the model to try to find fabricated facts or citations in its own draft. None of this replaces me — I still read, edit and approve every line here before downloading it as a Word file.</w:t>
      </w:r>
    </w:p>
    <w:p>
      <w:pPr>
        <w:pStyle w:val="Heading2"/>
        <w:spacing w:after="100" w:before="300"/>
      </w:pPr>
      <w:r>
        <w:rPr>
          <w:b/>
          <w:bCs/>
          <w:color w:val="b45309"/>
        </w:rPr>
        <w:t xml:space="preserve">6:40 – 7:00   </w:t>
      </w:r>
      <w:r>
        <w:t xml:space="preserve">12. Conclusion</w:t>
      </w:r>
    </w:p>
    <w:p>
      <w:pPr>
        <w:spacing w:after="80" w:line="280"/>
        <w:ind w:left="360"/>
      </w:pPr>
      <w:r>
        <w:rPr>
          <w:b/>
          <w:bCs/>
          <w:color w:val="1a237e"/>
        </w:rPr>
        <w:t xml:space="preserve">ON SCREEN:  </w:t>
      </w:r>
      <w:r>
        <w:t xml:space="preserve">Back to camera, full frame.</w:t>
      </w:r>
    </w:p>
    <w:p>
      <w:pPr>
        <w:spacing w:after="220" w:line="300"/>
        <w:ind w:left="360"/>
      </w:pPr>
      <w:r>
        <w:rPr>
          <w:b/>
          <w:bCs/>
          <w:color w:val="8a5a00"/>
        </w:rPr>
        <w:t xml:space="preserve">SAY:  </w:t>
      </w:r>
      <w:r>
        <w:rPr>
          <w:i/>
          <w:iCs/>
        </w:rPr>
        <w:t xml:space="preserve">What used to take a couple of hours of drafting and cross-checking now takes minutes of AI drafting plus a focused review — without a client's PAN or Aadhaar ever leaving this masking layer. That's the project. Thank you for watching.</w:t>
      </w:r>
    </w:p>
    <w:p>
      <w:pPr>
        <w:pStyle w:val="Heading1"/>
        <w:spacing w:after="160" w:before="360"/>
      </w:pPr>
      <w:r>
        <w:t xml:space="preserve">Part D — Recording &amp; Submission Checklist</w:t>
      </w:r>
    </w:p>
    <w:p>
      <w:pPr>
        <w:pStyle w:val="ListParagraph"/>
        <w:numPr>
          <w:ilvl w:val="0"/>
          <w:numId w:val="2"/>
        </w:numPr>
        <w:spacing w:after="100" w:line="280"/>
      </w:pPr>
      <w:r>
        <w:t xml:space="preserve">Record face and screen together throughout (OBS Studio, Zoom's local recording, or PowerPoint's “Record Slide Show” with camera all support a webcam picture-in-picture over a screen share) — the brief requires both simultaneously, not alternating.</w:t>
      </w:r>
    </w:p>
    <w:p>
      <w:pPr>
        <w:pStyle w:val="ListParagraph"/>
        <w:numPr>
          <w:ilvl w:val="0"/>
          <w:numId w:val="2"/>
        </w:numPr>
        <w:spacing w:after="100" w:line="280"/>
      </w:pPr>
      <w:r>
        <w:t xml:space="preserve">Replace any real client data on screen with the synthetic notice before recording (Part B.1).</w:t>
      </w:r>
    </w:p>
    <w:p>
      <w:pPr>
        <w:pStyle w:val="ListParagraph"/>
        <w:numPr>
          <w:ilvl w:val="0"/>
          <w:numId w:val="2"/>
        </w:numPr>
        <w:spacing w:after="100" w:line="280"/>
      </w:pPr>
      <w:r>
        <w:t xml:space="preserve">Do one dry run earlier in the day to confirm Gemini quota headroom, then record your keeper take (Part B.2).</w:t>
      </w:r>
    </w:p>
    <w:p>
      <w:pPr>
        <w:pStyle w:val="ListParagraph"/>
        <w:numPr>
          <w:ilvl w:val="0"/>
          <w:numId w:val="2"/>
        </w:numPr>
        <w:spacing w:after="100" w:line="280"/>
      </w:pPr>
      <w:r>
        <w:t xml:space="preserve">Keep total runtime inside 5–7 minutes — trim Legal Research or Backend first if you overrun.</w:t>
      </w:r>
    </w:p>
    <w:p>
      <w:pPr>
        <w:pStyle w:val="ListParagraph"/>
        <w:numPr>
          <w:ilvl w:val="0"/>
          <w:numId w:val="2"/>
        </w:numPr>
        <w:spacing w:after="100" w:line="280"/>
      </w:pPr>
      <w:r>
        <w:t xml:space="preserve">Upload to YouTube as Unlisted (not Private) or to Google Drive with sharing set to “Anyone with the link,” then test the link in a private/incognito window before submitting it on the form.</w:t>
      </w:r>
    </w:p>
    <w:p>
      <w:pPr>
        <w:pStyle w:val="ListParagraph"/>
        <w:numPr>
          <w:ilvl w:val="0"/>
          <w:numId w:val="2"/>
        </w:numPr>
        <w:spacing w:after="100" w:line="280"/>
      </w:pPr>
      <w:r>
        <w:t xml:space="preserve">Submit the tested link through the same Google Form used for the AICA Level 2 Capstone submission.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2026-08-20T08:29:18.420Z</dcterms:created>
  <dcterms:modified xsi:type="dcterms:W3CDTF">2026-08-20T08:29:18.429Z</dcterms:modified>
</cp:coreProperties>
</file>

<file path=docProps/custom.xml><?xml version="1.0" encoding="utf-8"?>
<Properties xmlns="http://schemas.openxmlformats.org/officeDocument/2006/custom-properties" xmlns:vt="http://schemas.openxmlformats.org/officeDocument/2006/docPropsVTypes"/>
</file>