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8A"/>
          <w:sz w:val="44"/>
        </w:rPr>
        <w:t>Ind AS DisclosureLens</w:t>
      </w:r>
    </w:p>
    <w:p>
      <w:pPr>
        <w:spacing w:after="80"/>
      </w:pPr>
      <w:r>
        <w:rPr>
          <w:rFonts w:ascii="Arial" w:hAnsi="Arial"/>
          <w:b/>
          <w:color w:val="0284C7"/>
          <w:sz w:val="24"/>
        </w:rPr>
        <w:t>Automated Financial Statement &amp; Disclosure Verification System using Multimodal AI</w:t>
      </w:r>
    </w:p>
    <w:p>
      <w:pPr>
        <w:spacing w:after="320"/>
      </w:pPr>
      <w:r>
        <w:rPr>
          <w:rFonts w:ascii="Arial" w:hAnsi="Arial"/>
          <w:i/>
          <w:color w:val="475569"/>
          <w:sz w:val="19"/>
        </w:rPr>
        <w:t>ICAI Certificate Course on AI for CAs (AICA Level 2) | Technical Documentation &amp; User Guide</w:t>
      </w:r>
    </w:p>
    <w:p>
      <w:pPr>
        <w:keepNext/>
        <w:spacing w:before="360" w:after="120"/>
      </w:pPr>
      <w:r>
        <w:rPr>
          <w:rFonts w:ascii="Arial" w:hAnsi="Arial"/>
          <w:b/>
          <w:color w:val="1E3A8A"/>
          <w:sz w:val="30"/>
        </w:rPr>
        <w:t>1. Tool Overview &amp; Executive Summary</w:t>
      </w:r>
    </w:p>
    <w:p>
      <w:pPr>
        <w:spacing w:after="120" w:line="276" w:lineRule="auto"/>
      </w:pPr>
      <w:r>
        <w:rPr>
          <w:rFonts w:ascii="Arial" w:hAnsi="Arial"/>
          <w:color w:val="0F172A"/>
          <w:sz w:val="21"/>
        </w:rPr>
        <w:t>Ind AS DisclosureLens is an AI-powered financial audit assistant engineered for Chartered Accountants, Statutory Auditors, and Finance Teams. Built on Google AI Studio using Gemini 1.5 Pro's multimodal architecture, the tool ingests entire Annual Reports and Financial Statements in PDF format to cross-verify compliance against mandatory Ind AS statutory disclosure checklists and perform automated numerical consistency checks.</w:t>
      </w:r>
    </w:p>
    <w:tbl>
      <w:tblPr>
        <w:tblW w:type="auto" w:w="0"/>
        <w:jc w:val="center"/>
        <w:tblLook w:firstColumn="1" w:firstRow="1" w:lastColumn="0" w:lastRow="0" w:noHBand="0" w:noVBand="1" w:val="04A0"/>
      </w:tblPr>
      <w:tblGrid>
        <w:gridCol w:w="9360"/>
      </w:tblGrid>
      <w:tr>
        <w:tc>
          <w:tcPr>
            <w:tcW w:type="dxa" w:w="9360"/>
            <w:shd w:fill="F1F5F9"/>
            <w:tcMar>
              <w:top w:w="160" w:type="dxa"/>
              <w:bottom w:w="160" w:type="dxa"/>
              <w:left w:w="200" w:type="dxa"/>
              <w:right w:w="200" w:type="dxa"/>
            </w:tcMar>
            <w:tcBorders>
              <w:top w:val="none"/>
              <w:left w:val="single" w:sz="36" w:space="0" w:color="1E3A8A"/>
              <w:bottom w:val="none"/>
              <w:right w:val="none"/>
            </w:tcBorders>
          </w:tcPr>
          <w:p>
            <w:pPr>
              <w:spacing w:after="80"/>
            </w:pPr>
            <w:r>
              <w:rPr>
                <w:rFonts w:ascii="Arial" w:hAnsi="Arial"/>
                <w:b/>
                <w:color w:val="1E3A8A"/>
                <w:sz w:val="22"/>
              </w:rPr>
              <w:t>Core Value Proposition for CA Practice</w:t>
            </w:r>
          </w:p>
          <w:p>
            <w:pPr>
              <w:spacing w:after="0" w:line="276" w:lineRule="auto"/>
            </w:pPr>
            <w:r>
              <w:rPr>
                <w:rFonts w:ascii="Arial" w:hAnsi="Arial"/>
                <w:color w:val="0F172A"/>
                <w:sz w:val="20"/>
              </w:rPr>
              <w:t>Eliminates 4 to 6 hours of manual review per audit client down to under 2 minutes (95% efficiency gain). It eliminates sampling trade-offs by providing 100% checklist coverage across notes to accounts while ensuring absolute client data confidentiality.</w:t>
            </w:r>
          </w:p>
        </w:tc>
      </w:tr>
    </w:tbl>
    <w:p>
      <w:pPr>
        <w:spacing w:after="120"/>
      </w:pPr>
    </w:p>
    <w:p>
      <w:pPr>
        <w:keepNext/>
        <w:spacing w:before="360" w:after="120"/>
      </w:pPr>
      <w:r>
        <w:rPr>
          <w:rFonts w:ascii="Arial" w:hAnsi="Arial"/>
          <w:b/>
          <w:color w:val="1E3A8A"/>
          <w:sz w:val="30"/>
        </w:rPr>
        <w:t>2. Key Capabilities: What You Can Do With This Tool</w:t>
      </w:r>
    </w:p>
    <w:p>
      <w:pPr>
        <w:spacing w:after="120" w:line="276" w:lineRule="auto"/>
      </w:pPr>
      <w:r>
        <w:rPr>
          <w:rFonts w:ascii="Arial" w:hAnsi="Arial"/>
          <w:color w:val="0F172A"/>
          <w:sz w:val="21"/>
        </w:rPr>
        <w:t>The tool automates three critical, labor-intensive dimensions of statutory financial audits:</w:t>
      </w:r>
    </w:p>
    <w:p>
      <w:pPr>
        <w:keepNext/>
        <w:spacing w:before="240" w:after="80"/>
      </w:pPr>
      <w:r>
        <w:rPr>
          <w:rFonts w:ascii="Arial" w:hAnsi="Arial"/>
          <w:b/>
          <w:color w:val="0284C7"/>
          <w:sz w:val="25"/>
        </w:rPr>
        <w:t>A. Mandatory Ind AS Disclosure Verification</w:t>
      </w:r>
    </w:p>
    <w:p>
      <w:pPr>
        <w:pStyle w:val="ListBullet"/>
        <w:spacing w:after="80" w:line="276" w:lineRule="auto"/>
      </w:pPr>
      <w:r>
        <w:rPr>
          <w:rFonts w:ascii="Arial" w:hAnsi="Arial"/>
          <w:b/>
          <w:color w:val="0F172A"/>
          <w:sz w:val="21"/>
        </w:rPr>
        <w:t>Ind AS 1 (Presentation):</w:t>
      </w:r>
      <w:r>
        <w:rPr>
          <w:rFonts w:ascii="Arial" w:hAnsi="Arial"/>
          <w:color w:val="0F172A"/>
          <w:sz w:val="21"/>
        </w:rPr>
        <w:t xml:space="preserve"> Cross-references accounting policy notes against standard materiality and going-concern presentation requirements.</w:t>
      </w:r>
    </w:p>
    <w:p>
      <w:pPr>
        <w:pStyle w:val="ListBullet"/>
        <w:spacing w:after="80" w:line="276" w:lineRule="auto"/>
      </w:pPr>
      <w:r>
        <w:rPr>
          <w:rFonts w:ascii="Arial" w:hAnsi="Arial"/>
          <w:b/>
          <w:color w:val="0F172A"/>
          <w:sz w:val="21"/>
        </w:rPr>
        <w:t>Ind AS 16 (PPE) &amp; Ind AS 38 (Intangibles):</w:t>
      </w:r>
      <w:r>
        <w:rPr>
          <w:rFonts w:ascii="Arial" w:hAnsi="Arial"/>
          <w:color w:val="0F172A"/>
          <w:sz w:val="21"/>
        </w:rPr>
        <w:t xml:space="preserve"> Verifies asset revaluation schedules, capitalized borrowing costs, useful lives, and depreciation methods.</w:t>
      </w:r>
    </w:p>
    <w:p>
      <w:pPr>
        <w:pStyle w:val="ListBullet"/>
        <w:spacing w:after="80" w:line="276" w:lineRule="auto"/>
      </w:pPr>
      <w:r>
        <w:rPr>
          <w:rFonts w:ascii="Arial" w:hAnsi="Arial"/>
          <w:b/>
          <w:color w:val="0F172A"/>
          <w:sz w:val="21"/>
        </w:rPr>
        <w:t>Ind AS 24 (Related Party Disclosures):</w:t>
      </w:r>
      <w:r>
        <w:rPr>
          <w:rFonts w:ascii="Arial" w:hAnsi="Arial"/>
          <w:color w:val="0F172A"/>
          <w:sz w:val="21"/>
        </w:rPr>
        <w:t xml:space="preserve"> Detects missing breakdowns of Key Management Personnel (KMP) remuneration, sitting fees, and related-party balances.</w:t>
      </w:r>
    </w:p>
    <w:p>
      <w:pPr>
        <w:pStyle w:val="ListBullet"/>
        <w:spacing w:after="80" w:line="276" w:lineRule="auto"/>
      </w:pPr>
      <w:r>
        <w:rPr>
          <w:rFonts w:ascii="Arial" w:hAnsi="Arial"/>
          <w:b/>
          <w:color w:val="0F172A"/>
          <w:sz w:val="21"/>
        </w:rPr>
        <w:t>Ind AS 33 (Earnings Per Share):</w:t>
      </w:r>
      <w:r>
        <w:rPr>
          <w:rFonts w:ascii="Arial" w:hAnsi="Arial"/>
          <w:color w:val="0F172A"/>
          <w:sz w:val="21"/>
        </w:rPr>
        <w:t xml:space="preserve"> Validates numerator/denominator reconciliations for basic and diluted earnings per share.</w:t>
      </w:r>
    </w:p>
    <w:p>
      <w:pPr>
        <w:pStyle w:val="ListBullet"/>
        <w:spacing w:after="80" w:line="276" w:lineRule="auto"/>
      </w:pPr>
      <w:r>
        <w:rPr>
          <w:rFonts w:ascii="Arial" w:hAnsi="Arial"/>
          <w:b/>
          <w:color w:val="0F172A"/>
          <w:sz w:val="21"/>
        </w:rPr>
        <w:t>Ind AS 37 (Provisions &amp; Contingent Liabilities):</w:t>
      </w:r>
      <w:r>
        <w:rPr>
          <w:rFonts w:ascii="Arial" w:hAnsi="Arial"/>
          <w:color w:val="0F172A"/>
          <w:sz w:val="21"/>
        </w:rPr>
        <w:t xml:space="preserve"> Scans notes for pending litigations, guarantees, legal claims, and warranty provisions.</w:t>
      </w:r>
    </w:p>
    <w:p>
      <w:pPr>
        <w:pStyle w:val="ListBullet"/>
        <w:spacing w:after="80" w:line="276" w:lineRule="auto"/>
      </w:pPr>
      <w:r>
        <w:rPr>
          <w:rFonts w:ascii="Arial" w:hAnsi="Arial"/>
          <w:b/>
          <w:color w:val="0F172A"/>
          <w:sz w:val="21"/>
        </w:rPr>
        <w:t>Ind AS 107 / 109 (Financial Instruments):</w:t>
      </w:r>
      <w:r>
        <w:rPr>
          <w:rFonts w:ascii="Arial" w:hAnsi="Arial"/>
          <w:color w:val="0F172A"/>
          <w:sz w:val="21"/>
        </w:rPr>
        <w:t xml:space="preserve"> Checks for required credit risk aging, liquidity profiles, and interest rate sensitivity tables.</w:t>
      </w:r>
    </w:p>
    <w:p>
      <w:pPr>
        <w:keepNext/>
        <w:spacing w:before="240" w:after="80"/>
      </w:pPr>
      <w:r>
        <w:rPr>
          <w:rFonts w:ascii="Arial" w:hAnsi="Arial"/>
          <w:b/>
          <w:color w:val="0284C7"/>
          <w:sz w:val="25"/>
        </w:rPr>
        <w:t>B. Cross-Referencing &amp; Internal Consistency Checks</w:t>
      </w:r>
    </w:p>
    <w:p>
      <w:pPr>
        <w:pStyle w:val="ListBullet"/>
        <w:spacing w:after="80" w:line="276" w:lineRule="auto"/>
      </w:pPr>
      <w:r>
        <w:rPr>
          <w:rFonts w:ascii="Arial" w:hAnsi="Arial"/>
          <w:b/>
          <w:color w:val="0F172A"/>
          <w:sz w:val="21"/>
        </w:rPr>
        <w:t>Primary Statement to Schedule Matching:</w:t>
      </w:r>
      <w:r>
        <w:rPr>
          <w:rFonts w:ascii="Arial" w:hAnsi="Arial"/>
          <w:color w:val="0F172A"/>
          <w:sz w:val="21"/>
        </w:rPr>
        <w:t xml:space="preserve"> Matches line-item values in the Balance Sheet, P&amp;L, and Cash Flow Statement against the summary totals of their corresponding Notes to Accounts.</w:t>
      </w:r>
    </w:p>
    <w:p>
      <w:pPr>
        <w:pStyle w:val="ListBullet"/>
        <w:spacing w:after="80" w:line="276" w:lineRule="auto"/>
      </w:pPr>
      <w:r>
        <w:rPr>
          <w:rFonts w:ascii="Arial" w:hAnsi="Arial"/>
          <w:b/>
          <w:color w:val="0F172A"/>
          <w:sz w:val="21"/>
        </w:rPr>
        <w:t>Narrative-to-Table Discrepancy Detection:</w:t>
      </w:r>
      <w:r>
        <w:rPr>
          <w:rFonts w:ascii="Arial" w:hAnsi="Arial"/>
          <w:color w:val="0F172A"/>
          <w:sz w:val="21"/>
        </w:rPr>
        <w:t xml:space="preserve"> Reconciles numerical claims in the Directors' Report, Management Discussion &amp; Analysis (MDA), and accounting policies with actual tabular disclosures.</w:t>
      </w:r>
    </w:p>
    <w:p>
      <w:pPr>
        <w:pStyle w:val="ListBullet"/>
        <w:spacing w:after="80" w:line="276" w:lineRule="auto"/>
      </w:pPr>
      <w:r>
        <w:rPr>
          <w:rFonts w:ascii="Arial" w:hAnsi="Arial"/>
          <w:b/>
          <w:color w:val="0F172A"/>
          <w:sz w:val="21"/>
        </w:rPr>
        <w:t>Arithmetic &amp; Footing Auditing:</w:t>
      </w:r>
      <w:r>
        <w:rPr>
          <w:rFonts w:ascii="Arial" w:hAnsi="Arial"/>
          <w:color w:val="0F172A"/>
          <w:sz w:val="21"/>
        </w:rPr>
        <w:t xml:space="preserve"> Flags rounding-off discrepancies (e.g., Lakhs vs Crores) and casting/footing calculation inconsistencies across schedules.</w:t>
      </w:r>
    </w:p>
    <w:p>
      <w:pPr>
        <w:keepNext/>
        <w:spacing w:before="240" w:after="80"/>
      </w:pPr>
      <w:r>
        <w:rPr>
          <w:rFonts w:ascii="Arial" w:hAnsi="Arial"/>
          <w:b/>
          <w:color w:val="0284C7"/>
          <w:sz w:val="25"/>
        </w:rPr>
        <w:t>C. Standardized CA Working Paper Generation</w:t>
      </w:r>
    </w:p>
    <w:p>
      <w:pPr>
        <w:pStyle w:val="ListBullet"/>
        <w:spacing w:after="80" w:line="276" w:lineRule="auto"/>
      </w:pPr>
      <w:r>
        <w:rPr>
          <w:rFonts w:ascii="Arial" w:hAnsi="Arial"/>
          <w:b/>
          <w:color w:val="0F172A"/>
          <w:sz w:val="21"/>
        </w:rPr>
        <w:t>Executive Compliance Scoring:</w:t>
      </w:r>
      <w:r>
        <w:rPr>
          <w:rFonts w:ascii="Arial" w:hAnsi="Arial"/>
          <w:color w:val="0F172A"/>
          <w:sz w:val="21"/>
        </w:rPr>
        <w:t xml:space="preserve"> Computes an automated compliance confidence grade (High / Moderate / Needs Immediate Revision).</w:t>
      </w:r>
    </w:p>
    <w:p>
      <w:pPr>
        <w:pStyle w:val="ListBullet"/>
        <w:spacing w:after="80" w:line="276" w:lineRule="auto"/>
      </w:pPr>
      <w:r>
        <w:rPr>
          <w:rFonts w:ascii="Arial" w:hAnsi="Arial"/>
          <w:b/>
          <w:color w:val="0F172A"/>
          <w:sz w:val="21"/>
        </w:rPr>
        <w:t>Exception Matrix:</w:t>
      </w:r>
      <w:r>
        <w:rPr>
          <w:rFonts w:ascii="Arial" w:hAnsi="Arial"/>
          <w:color w:val="0F172A"/>
          <w:sz w:val="21"/>
        </w:rPr>
        <w:t xml:space="preserve"> Produces a clean, structured exception table with exact standard references, risk levels, and note citations ready for audit files.</w:t>
      </w:r>
    </w:p>
    <w:p>
      <w:pPr>
        <w:pStyle w:val="ListBullet"/>
        <w:spacing w:after="80" w:line="276" w:lineRule="auto"/>
      </w:pPr>
      <w:r>
        <w:rPr>
          <w:rFonts w:ascii="Arial" w:hAnsi="Arial"/>
          <w:b/>
          <w:color w:val="0F172A"/>
          <w:sz w:val="21"/>
        </w:rPr>
        <w:t>Audit Query Drafting:</w:t>
      </w:r>
      <w:r>
        <w:rPr>
          <w:rFonts w:ascii="Arial" w:hAnsi="Arial"/>
          <w:color w:val="0F172A"/>
          <w:sz w:val="21"/>
        </w:rPr>
        <w:t xml:space="preserve"> Outlines specific queries to raise with management or adjusting entries required before audit sign-off.</w:t>
      </w:r>
    </w:p>
    <w:p>
      <w:pPr>
        <w:keepNext/>
        <w:spacing w:before="360" w:after="120"/>
      </w:pPr>
      <w:r>
        <w:rPr>
          <w:rFonts w:ascii="Arial" w:hAnsi="Arial"/>
          <w:b/>
          <w:color w:val="1E3A8A"/>
          <w:sz w:val="30"/>
        </w:rPr>
        <w:t>3. Step-by-Step Implementation &amp; Operating Guide</w:t>
      </w:r>
    </w:p>
    <w:p>
      <w:pPr>
        <w:spacing w:after="120" w:line="276" w:lineRule="auto"/>
      </w:pPr>
      <w:r>
        <w:rPr>
          <w:rFonts w:ascii="Arial" w:hAnsi="Arial"/>
          <w:color w:val="0F172A"/>
          <w:sz w:val="21"/>
        </w:rPr>
        <w:t>Follow the sequential steps below to deploy and execute Ind AS DisclosureLens in Google AI Studio:</w:t>
      </w:r>
    </w:p>
    <w:tbl>
      <w:tblPr>
        <w:tblW w:type="auto" w:w="0"/>
        <w:jc w:val="center"/>
        <w:tblLook w:firstColumn="1" w:firstRow="1" w:lastColumn="0" w:lastRow="0" w:noHBand="0" w:noVBand="1" w:val="04A0"/>
      </w:tblPr>
      <w:tblGrid>
        <w:gridCol w:w="4680"/>
        <w:gridCol w:w="4680"/>
      </w:tblGrid>
      <w:tr>
        <w:tc>
          <w:tcPr>
            <w:tcW w:type="dxa" w:w="2160"/>
            <w:shd w:fill="1E3A8A"/>
            <w:tcMar>
              <w:top w:w="140" w:type="dxa"/>
              <w:bottom w:w="140" w:type="dxa"/>
              <w:left w:w="160" w:type="dxa"/>
              <w:right w:w="160" w:type="dxa"/>
            </w:tcMar>
          </w:tcPr>
          <w:p>
            <w:r>
              <w:rPr>
                <w:rFonts w:ascii="Arial" w:hAnsi="Arial"/>
                <w:b/>
                <w:color w:val="FFFFFF"/>
                <w:sz w:val="20"/>
              </w:rPr>
              <w:t>Step</w:t>
            </w:r>
          </w:p>
        </w:tc>
        <w:tc>
          <w:tcPr>
            <w:tcW w:type="dxa" w:w="7200"/>
            <w:shd w:fill="1E3A8A"/>
            <w:tcMar>
              <w:top w:w="140" w:type="dxa"/>
              <w:bottom w:w="140" w:type="dxa"/>
              <w:left w:w="160" w:type="dxa"/>
              <w:right w:w="160" w:type="dxa"/>
            </w:tcMar>
          </w:tcPr>
          <w:p>
            <w:r>
              <w:rPr>
                <w:rFonts w:ascii="Arial" w:hAnsi="Arial"/>
                <w:b/>
                <w:color w:val="FFFFFF"/>
                <w:sz w:val="20"/>
              </w:rPr>
              <w:t>Action &amp; Technical Details</w:t>
            </w:r>
          </w:p>
        </w:tc>
      </w:tr>
      <w:tr>
        <w:tc>
          <w:tcPr>
            <w:tcW w:type="dxa" w:w="2160"/>
            <w:shd w:fill="F1F5F9"/>
            <w:tcMar>
              <w:top w:w="120" w:type="dxa"/>
              <w:bottom w:w="120" w:type="dxa"/>
              <w:left w:w="140" w:type="dxa"/>
              <w:right w:w="140" w:type="dxa"/>
            </w:tcMar>
          </w:tcPr>
          <w:p>
            <w:r>
              <w:rPr>
                <w:rFonts w:ascii="Arial" w:hAnsi="Arial"/>
                <w:b/>
                <w:color w:val="1E3A8A"/>
                <w:sz w:val="19"/>
              </w:rPr>
              <w:t>Step 1: Environment Setup</w:t>
            </w:r>
          </w:p>
        </w:tc>
        <w:tc>
          <w:tcPr>
            <w:tcW w:type="dxa" w:w="7200"/>
            <w:shd w:fill="F1F5F9"/>
            <w:tcMar>
              <w:top w:w="120" w:type="dxa"/>
              <w:bottom w:w="120" w:type="dxa"/>
              <w:left w:w="140" w:type="dxa"/>
              <w:right w:w="140" w:type="dxa"/>
            </w:tcMar>
          </w:tcPr>
          <w:p>
            <w:r>
              <w:rPr>
                <w:rFonts w:ascii="Arial" w:hAnsi="Arial"/>
                <w:color w:val="0F172A"/>
                <w:sz w:val="19"/>
              </w:rPr>
              <w:t>1. Open Google AI Studio (aistudio.google.com).</w:t>
              <w:br/>
              <w:t>2. Select Model: 'Gemini 1.5 Pro' (optimized for multimodal deep reasoning and 1M+ token context).</w:t>
              <w:br/>
              <w:t>3. Set Temperature to 0.1 or 0.2 (strict adherence to facts without creative hallucination).</w:t>
            </w:r>
          </w:p>
        </w:tc>
      </w:tr>
      <w:tr>
        <w:tc>
          <w:tcPr>
            <w:tcW w:type="dxa" w:w="2160"/>
            <w:shd w:fill="FFFFFF"/>
            <w:tcMar>
              <w:top w:w="120" w:type="dxa"/>
              <w:bottom w:w="120" w:type="dxa"/>
              <w:left w:w="140" w:type="dxa"/>
              <w:right w:w="140" w:type="dxa"/>
            </w:tcMar>
          </w:tcPr>
          <w:p>
            <w:r>
              <w:rPr>
                <w:rFonts w:ascii="Arial" w:hAnsi="Arial"/>
                <w:b/>
                <w:color w:val="1E3A8A"/>
                <w:sz w:val="19"/>
              </w:rPr>
              <w:t>Step 2: System Prompt Configuration</w:t>
            </w:r>
          </w:p>
        </w:tc>
        <w:tc>
          <w:tcPr>
            <w:tcW w:type="dxa" w:w="7200"/>
            <w:shd w:fill="FFFFFF"/>
            <w:tcMar>
              <w:top w:w="120" w:type="dxa"/>
              <w:bottom w:w="120" w:type="dxa"/>
              <w:left w:w="140" w:type="dxa"/>
              <w:right w:w="140" w:type="dxa"/>
            </w:tcMar>
          </w:tcPr>
          <w:p>
            <w:r>
              <w:rPr>
                <w:rFonts w:ascii="Arial" w:hAnsi="Arial"/>
                <w:color w:val="0F172A"/>
                <w:sz w:val="19"/>
              </w:rPr>
              <w:t>1. Navigate to the 'System Instructions' panel.</w:t>
              <w:br/>
              <w:t>2. Paste the specialized Ind AS Auditor System Prompt.</w:t>
              <w:br/>
              <w:t>3. The prompt locks the AI into strict CA auditing logic, defining Ind AS standards checklist rules and exact 4-part reporting formats.</w:t>
            </w:r>
          </w:p>
        </w:tc>
      </w:tr>
      <w:tr>
        <w:tc>
          <w:tcPr>
            <w:tcW w:type="dxa" w:w="2160"/>
            <w:shd w:fill="F1F5F9"/>
            <w:tcMar>
              <w:top w:w="120" w:type="dxa"/>
              <w:bottom w:w="120" w:type="dxa"/>
              <w:left w:w="140" w:type="dxa"/>
              <w:right w:w="140" w:type="dxa"/>
            </w:tcMar>
          </w:tcPr>
          <w:p>
            <w:r>
              <w:rPr>
                <w:rFonts w:ascii="Arial" w:hAnsi="Arial"/>
                <w:b/>
                <w:color w:val="1E3A8A"/>
                <w:sz w:val="19"/>
              </w:rPr>
              <w:t>Step 3: Document Ingestion</w:t>
            </w:r>
          </w:p>
        </w:tc>
        <w:tc>
          <w:tcPr>
            <w:tcW w:type="dxa" w:w="7200"/>
            <w:shd w:fill="F1F5F9"/>
            <w:tcMar>
              <w:top w:w="120" w:type="dxa"/>
              <w:bottom w:w="120" w:type="dxa"/>
              <w:left w:w="140" w:type="dxa"/>
              <w:right w:w="140" w:type="dxa"/>
            </w:tcMar>
          </w:tcPr>
          <w:p>
            <w:r>
              <w:rPr>
                <w:rFonts w:ascii="Arial" w:hAnsi="Arial"/>
                <w:color w:val="0F172A"/>
                <w:sz w:val="19"/>
              </w:rPr>
              <w:t>1. Click the '+' or 'Attach File' icon in the prompt input area.</w:t>
              <w:br/>
              <w:t>2. Upload the client's Annual Report / Draft Financial Statements (PDF format).</w:t>
              <w:br/>
              <w:t>3. Gemini 1.5 Pro natively parses text, tabular schedules, and scanned figures simultaneously without external OCR tools.</w:t>
            </w:r>
          </w:p>
        </w:tc>
      </w:tr>
      <w:tr>
        <w:tc>
          <w:tcPr>
            <w:tcW w:type="dxa" w:w="2160"/>
            <w:shd w:fill="FFFFFF"/>
            <w:tcMar>
              <w:top w:w="120" w:type="dxa"/>
              <w:bottom w:w="120" w:type="dxa"/>
              <w:left w:w="140" w:type="dxa"/>
              <w:right w:w="140" w:type="dxa"/>
            </w:tcMar>
          </w:tcPr>
          <w:p>
            <w:r>
              <w:rPr>
                <w:rFonts w:ascii="Arial" w:hAnsi="Arial"/>
                <w:b/>
                <w:color w:val="1E3A8A"/>
                <w:sz w:val="19"/>
              </w:rPr>
              <w:t>Step 4: Execution &amp; Report Generation</w:t>
            </w:r>
          </w:p>
        </w:tc>
        <w:tc>
          <w:tcPr>
            <w:tcW w:type="dxa" w:w="7200"/>
            <w:shd w:fill="FFFFFF"/>
            <w:tcMar>
              <w:top w:w="120" w:type="dxa"/>
              <w:bottom w:w="120" w:type="dxa"/>
              <w:left w:w="140" w:type="dxa"/>
              <w:right w:w="140" w:type="dxa"/>
            </w:tcMar>
          </w:tcPr>
          <w:p>
            <w:r>
              <w:rPr>
                <w:rFonts w:ascii="Arial" w:hAnsi="Arial"/>
                <w:color w:val="0F172A"/>
                <w:sz w:val="19"/>
              </w:rPr>
              <w:t>1. Enter the User Execution Prompt: 'Perform complete Ind AS Disclosure &amp; Numerical Consistency Audit'.</w:t>
              <w:br/>
              <w:t>2. Click Run (Ctrl+Enter).</w:t>
              <w:br/>
              <w:t>3. In 15–30 seconds, review the 4-part structured Audit Findings Report and export findings into CA Working Papers.</w:t>
            </w:r>
          </w:p>
        </w:tc>
      </w:tr>
    </w:tbl>
    <w:p>
      <w:pPr>
        <w:spacing w:after="120"/>
      </w:pPr>
    </w:p>
    <w:p>
      <w:pPr>
        <w:keepNext/>
        <w:spacing w:before="360" w:after="120"/>
      </w:pPr>
      <w:r>
        <w:rPr>
          <w:rFonts w:ascii="Arial" w:hAnsi="Arial"/>
          <w:b/>
          <w:color w:val="1E3A8A"/>
          <w:sz w:val="30"/>
        </w:rPr>
        <w:t>4. Standard Output Structure Generated by Tool</w:t>
      </w:r>
    </w:p>
    <w:p>
      <w:pPr>
        <w:spacing w:after="120" w:line="276" w:lineRule="auto"/>
      </w:pPr>
      <w:r>
        <w:rPr>
          <w:rFonts w:ascii="Arial" w:hAnsi="Arial"/>
          <w:color w:val="0F172A"/>
          <w:sz w:val="21"/>
        </w:rPr>
        <w:t>When executed, the system produces a structured report divided into 4 standardized sections:</w:t>
      </w:r>
    </w:p>
    <w:p>
      <w:pPr>
        <w:pStyle w:val="ListBullet"/>
        <w:spacing w:after="80" w:line="276" w:lineRule="auto"/>
      </w:pPr>
      <w:r>
        <w:rPr>
          <w:rFonts w:ascii="Arial" w:hAnsi="Arial"/>
          <w:b/>
          <w:color w:val="0F172A"/>
          <w:sz w:val="21"/>
        </w:rPr>
        <w:t>Section 1: Executive Compliance Summary -</w:t>
      </w:r>
      <w:r>
        <w:rPr>
          <w:rFonts w:ascii="Arial" w:hAnsi="Arial"/>
          <w:color w:val="0F172A"/>
          <w:sz w:val="21"/>
        </w:rPr>
        <w:t xml:space="preserve"> Overall compliance rating, total discrepancy count, and high-risk flags.</w:t>
      </w:r>
    </w:p>
    <w:p>
      <w:pPr>
        <w:pStyle w:val="ListBullet"/>
        <w:spacing w:after="80" w:line="276" w:lineRule="auto"/>
      </w:pPr>
      <w:r>
        <w:rPr>
          <w:rFonts w:ascii="Arial" w:hAnsi="Arial"/>
          <w:b/>
          <w:color w:val="0F172A"/>
          <w:sz w:val="21"/>
        </w:rPr>
        <w:t>Section 2: Ind AS Mandatory Checklist Matrix -</w:t>
      </w:r>
      <w:r>
        <w:rPr>
          <w:rFonts w:ascii="Arial" w:hAnsi="Arial"/>
          <w:color w:val="0F172A"/>
          <w:sz w:val="21"/>
        </w:rPr>
        <w:t xml:space="preserve"> Tabular evaluation of Ind AS 1, 16, 24, 33, 37, and 107 requirements marked as Complied, Missing, or Partially Disclosed.</w:t>
      </w:r>
    </w:p>
    <w:p>
      <w:pPr>
        <w:pStyle w:val="ListBullet"/>
        <w:spacing w:after="80" w:line="276" w:lineRule="auto"/>
      </w:pPr>
      <w:r>
        <w:rPr>
          <w:rFonts w:ascii="Arial" w:hAnsi="Arial"/>
          <w:b/>
          <w:color w:val="0F172A"/>
          <w:sz w:val="21"/>
        </w:rPr>
        <w:t>Section 3: Cross-Referencing &amp; Numerical Inconsistencies -</w:t>
      </w:r>
      <w:r>
        <w:rPr>
          <w:rFonts w:ascii="Arial" w:hAnsi="Arial"/>
          <w:color w:val="0F172A"/>
          <w:sz w:val="21"/>
        </w:rPr>
        <w:t xml:space="preserve"> Discrepancy table highlighting exact numerical mismatches between primary statement lines and note schedules with risk levels.</w:t>
      </w:r>
    </w:p>
    <w:p>
      <w:pPr>
        <w:pStyle w:val="ListBullet"/>
        <w:spacing w:after="80" w:line="276" w:lineRule="auto"/>
      </w:pPr>
      <w:r>
        <w:rPr>
          <w:rFonts w:ascii="Arial" w:hAnsi="Arial"/>
          <w:b/>
          <w:color w:val="0F172A"/>
          <w:sz w:val="21"/>
        </w:rPr>
        <w:t>Section 4: Actionable Audit Recommendations -</w:t>
      </w:r>
      <w:r>
        <w:rPr>
          <w:rFonts w:ascii="Arial" w:hAnsi="Arial"/>
          <w:color w:val="0F172A"/>
          <w:sz w:val="21"/>
        </w:rPr>
        <w:t xml:space="preserve"> Concrete steps for the audit engagement team to raise with management prior to signing the audit report.</w:t>
      </w:r>
    </w:p>
    <w:p>
      <w:pPr>
        <w:keepNext/>
        <w:spacing w:before="360" w:after="120"/>
      </w:pPr>
      <w:r>
        <w:rPr>
          <w:rFonts w:ascii="Arial" w:hAnsi="Arial"/>
          <w:b/>
          <w:color w:val="1E3A8A"/>
          <w:sz w:val="30"/>
        </w:rPr>
        <w:t>5. Data Security, Ethics &amp; Governance Controls</w:t>
      </w:r>
    </w:p>
    <w:p>
      <w:pPr>
        <w:pStyle w:val="ListBullet"/>
        <w:spacing w:after="80" w:line="276" w:lineRule="auto"/>
      </w:pPr>
      <w:r>
        <w:rPr>
          <w:rFonts w:ascii="Arial" w:hAnsi="Arial"/>
          <w:b/>
          <w:color w:val="0F172A"/>
          <w:sz w:val="21"/>
        </w:rPr>
        <w:t>Zero Data Training:</w:t>
      </w:r>
      <w:r>
        <w:rPr>
          <w:rFonts w:ascii="Arial" w:hAnsi="Arial"/>
          <w:color w:val="0F172A"/>
          <w:sz w:val="21"/>
        </w:rPr>
        <w:t xml:space="preserve"> Client financial statements submitted via private API endpoints are zero-retention and are never used to train public foundation models.</w:t>
      </w:r>
    </w:p>
    <w:p>
      <w:pPr>
        <w:pStyle w:val="ListBullet"/>
        <w:spacing w:after="80" w:line="276" w:lineRule="auto"/>
      </w:pPr>
      <w:r>
        <w:rPr>
          <w:rFonts w:ascii="Arial" w:hAnsi="Arial"/>
          <w:b/>
          <w:color w:val="0F172A"/>
          <w:sz w:val="21"/>
        </w:rPr>
        <w:t>ICAI Confidentiality Compliance:</w:t>
      </w:r>
      <w:r>
        <w:rPr>
          <w:rFonts w:ascii="Arial" w:hAnsi="Arial"/>
          <w:color w:val="0F172A"/>
          <w:sz w:val="21"/>
        </w:rPr>
        <w:t xml:space="preserve"> Fully aligns with the ICAI Code of Ethics regarding confidentiality of client documents and working papers.</w:t>
      </w:r>
    </w:p>
    <w:p>
      <w:pPr>
        <w:pStyle w:val="ListBullet"/>
        <w:spacing w:after="80" w:line="276" w:lineRule="auto"/>
      </w:pPr>
      <w:r>
        <w:rPr>
          <w:rFonts w:ascii="Arial" w:hAnsi="Arial"/>
          <w:b/>
          <w:color w:val="0F172A"/>
          <w:sz w:val="21"/>
        </w:rPr>
        <w:t>Hallucination Controls:</w:t>
      </w:r>
      <w:r>
        <w:rPr>
          <w:rFonts w:ascii="Arial" w:hAnsi="Arial"/>
          <w:color w:val="0F172A"/>
          <w:sz w:val="21"/>
        </w:rPr>
        <w:t xml:space="preserve"> Low temperature constraints (0.1) enforce strict factual grounding—prohibiting speculative or hallucinated numbers.</w:t>
      </w:r>
    </w:p>
    <w:p>
      <w:pPr>
        <w:pStyle w:val="ListBullet"/>
        <w:spacing w:after="80" w:line="276" w:lineRule="auto"/>
      </w:pPr>
      <w:r>
        <w:rPr>
          <w:rFonts w:ascii="Arial" w:hAnsi="Arial"/>
          <w:b/>
          <w:color w:val="0F172A"/>
          <w:sz w:val="21"/>
        </w:rPr>
        <w:t>Human-in-the-Loop Governance:</w:t>
      </w:r>
      <w:r>
        <w:rPr>
          <w:rFonts w:ascii="Arial" w:hAnsi="Arial"/>
          <w:color w:val="0F172A"/>
          <w:sz w:val="21"/>
        </w:rPr>
        <w:t xml:space="preserve"> The AI functions strictly as an accelerator for professional skepticism; final materiality judgments and audit opinions remain with the CA Partner.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