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CA STATUTORY COMPLIANCE &amp; NOTICE</w:t>
        <w:br/>
        <w:t>INTELLIGENCE ASSISTANT</w:t>
      </w:r>
    </w:p>
    <w:p>
      <w:pPr>
        <w:jc w:val="center"/>
      </w:pPr>
      <w:r>
        <w:rPr>
          <w:b/>
          <w:sz w:val="24"/>
        </w:rPr>
        <w:t>AI Analysis Demonstration | AICA Level-2 Capstone Project</w:t>
      </w:r>
    </w:p>
    <w:p>
      <w:pPr>
        <w:jc w:val="center"/>
      </w:pPr>
      <w:r>
        <w:rPr>
          <w:i/>
        </w:rPr>
        <w:t>Prepared by: CA R C Hasija</w:t>
      </w:r>
    </w:p>
    <w:p>
      <w:r>
        <w:t>Purpose: This document demonstrates how AI can assist a Chartered Accountant in reviewing a statutory notice, extracting key facts, identifying compliance risk, prioritising action and preparing a structured response. The case below uses dummy data only and is intended for academic demonstration.</w:t>
      </w:r>
    </w:p>
    <w:p>
      <w:pPr>
        <w:pStyle w:val="Heading1"/>
      </w:pPr>
      <w:r>
        <w:t>1. Dummy Notice / Input</w:t>
      </w:r>
    </w:p>
    <w:tbl>
      <w:tblPr>
        <w:tblStyle w:val="TableGrid"/>
        <w:tblW w:type="auto" w:w="0"/>
        <w:jc w:val="center"/>
        <w:tblLook w:firstColumn="1" w:firstRow="1" w:lastColumn="0" w:lastRow="0" w:noHBand="0" w:noVBand="1" w:val="04A0"/>
      </w:tblPr>
      <w:tblGrid>
        <w:gridCol w:w="5040"/>
        <w:gridCol w:w="5040"/>
      </w:tblGrid>
      <w:tr>
        <w:tc>
          <w:tcPr>
            <w:tcW w:type="dxa" w:w="5040"/>
          </w:tcPr>
          <w:p>
            <w:r>
              <w:t>Field</w:t>
            </w:r>
          </w:p>
        </w:tc>
        <w:tc>
          <w:tcPr>
            <w:tcW w:type="dxa" w:w="5040"/>
          </w:tcPr>
          <w:p>
            <w:r>
              <w:t>Dummy Case Details</w:t>
            </w:r>
          </w:p>
        </w:tc>
      </w:tr>
      <w:tr>
        <w:tc>
          <w:tcPr>
            <w:tcW w:type="dxa" w:w="5040"/>
            <w:vAlign w:val="center"/>
          </w:tcPr>
          <w:p>
            <w:r>
              <w:t>Taxpayer</w:t>
            </w:r>
          </w:p>
        </w:tc>
        <w:tc>
          <w:tcPr>
            <w:tcW w:type="dxa" w:w="5040"/>
            <w:vAlign w:val="center"/>
          </w:tcPr>
          <w:p>
            <w:r>
              <w:t>ABC Private Limited</w:t>
            </w:r>
          </w:p>
        </w:tc>
      </w:tr>
      <w:tr>
        <w:tc>
          <w:tcPr>
            <w:tcW w:type="dxa" w:w="5040"/>
            <w:vAlign w:val="center"/>
          </w:tcPr>
          <w:p>
            <w:r>
              <w:t>Notice Type</w:t>
            </w:r>
          </w:p>
        </w:tc>
        <w:tc>
          <w:tcPr>
            <w:tcW w:type="dxa" w:w="5040"/>
            <w:vAlign w:val="center"/>
          </w:tcPr>
          <w:p>
            <w:r>
              <w:t>GST ASMT-10 - Notice for discrepancies in return</w:t>
            </w:r>
          </w:p>
        </w:tc>
      </w:tr>
      <w:tr>
        <w:tc>
          <w:tcPr>
            <w:tcW w:type="dxa" w:w="5040"/>
            <w:vAlign w:val="center"/>
          </w:tcPr>
          <w:p>
            <w:r>
              <w:t>Illustrative Issue</w:t>
            </w:r>
          </w:p>
        </w:tc>
        <w:tc>
          <w:tcPr>
            <w:tcW w:type="dxa" w:w="5040"/>
            <w:vAlign w:val="center"/>
          </w:tcPr>
          <w:p>
            <w:r>
              <w:t>Difference between outward tax liability reported in GSTR-1 and GSTR-3B</w:t>
            </w:r>
          </w:p>
        </w:tc>
      </w:tr>
      <w:tr>
        <w:tc>
          <w:tcPr>
            <w:tcW w:type="dxa" w:w="5040"/>
            <w:vAlign w:val="center"/>
          </w:tcPr>
          <w:p>
            <w:r>
              <w:t>Tax Period</w:t>
            </w:r>
          </w:p>
        </w:tc>
        <w:tc>
          <w:tcPr>
            <w:tcW w:type="dxa" w:w="5040"/>
            <w:vAlign w:val="center"/>
          </w:tcPr>
          <w:p>
            <w:r>
              <w:t>FY 2025-26</w:t>
            </w:r>
          </w:p>
        </w:tc>
      </w:tr>
      <w:tr>
        <w:tc>
          <w:tcPr>
            <w:tcW w:type="dxa" w:w="5040"/>
            <w:vAlign w:val="center"/>
          </w:tcPr>
          <w:p>
            <w:r>
              <w:t>Illustrative Difference</w:t>
            </w:r>
          </w:p>
        </w:tc>
        <w:tc>
          <w:tcPr>
            <w:tcW w:type="dxa" w:w="5040"/>
            <w:vAlign w:val="center"/>
          </w:tcPr>
          <w:p>
            <w:r>
              <w:t>Rs. 2,40,000</w:t>
            </w:r>
          </w:p>
        </w:tc>
      </w:tr>
      <w:tr>
        <w:tc>
          <w:tcPr>
            <w:tcW w:type="dxa" w:w="5040"/>
            <w:vAlign w:val="center"/>
          </w:tcPr>
          <w:p>
            <w:r>
              <w:t>Response Time</w:t>
            </w:r>
          </w:p>
        </w:tc>
        <w:tc>
          <w:tcPr>
            <w:tcW w:type="dxa" w:w="5040"/>
            <w:vAlign w:val="center"/>
          </w:tcPr>
          <w:p>
            <w:r>
              <w:t>15 days from receipt of notice</w:t>
            </w:r>
          </w:p>
        </w:tc>
      </w:tr>
      <w:tr>
        <w:tc>
          <w:tcPr>
            <w:tcW w:type="dxa" w:w="5040"/>
            <w:vAlign w:val="center"/>
          </w:tcPr>
          <w:p>
            <w:r>
              <w:t>Supporting Records</w:t>
            </w:r>
          </w:p>
        </w:tc>
        <w:tc>
          <w:tcPr>
            <w:tcW w:type="dxa" w:w="5040"/>
            <w:vAlign w:val="center"/>
          </w:tcPr>
          <w:p>
            <w:r>
              <w:t>GSTR-1, GSTR-3B, sales register, credit/debit notes, reconciliation working</w:t>
            </w:r>
          </w:p>
        </w:tc>
      </w:tr>
    </w:tbl>
    <w:p>
      <w:pPr>
        <w:pStyle w:val="Heading1"/>
      </w:pPr>
      <w:r>
        <w:t>2. AI Prompt Used</w:t>
      </w:r>
    </w:p>
    <w:p>
      <w:r>
        <w:rPr>
          <w:i/>
        </w:rPr>
        <w:t>Act as an AI compliance assistant for a Chartered Accountant. Analyse the following dummy GST notice. Extract the notice type, tax period, discrepancy, response deadline and documents required. Classify the risk as Low/Medium/High with a short reason. Suggest a step-by-step action plan and prepare a concise professional reply framework. Do not invent facts or legal citations. Flag every item that requires verification by the CA before submission.</w:t>
      </w:r>
    </w:p>
    <w:p>
      <w:pPr>
        <w:pStyle w:val="Heading1"/>
      </w:pPr>
      <w:r>
        <w:t>3. AI-Generated Structured Analysis</w:t>
      </w:r>
    </w:p>
    <w:tbl>
      <w:tblPr>
        <w:tblStyle w:val="TableGrid"/>
        <w:tblW w:type="auto" w:w="0"/>
        <w:jc w:val="center"/>
        <w:tblLook w:firstColumn="1" w:firstRow="1" w:lastColumn="0" w:lastRow="0" w:noHBand="0" w:noVBand="1" w:val="04A0"/>
      </w:tblPr>
      <w:tblGrid>
        <w:gridCol w:w="5040"/>
        <w:gridCol w:w="5040"/>
      </w:tblGrid>
      <w:tr>
        <w:tc>
          <w:tcPr>
            <w:tcW w:type="dxa" w:w="5040"/>
          </w:tcPr>
          <w:p>
            <w:r>
              <w:t>AI Output</w:t>
            </w:r>
          </w:p>
        </w:tc>
        <w:tc>
          <w:tcPr>
            <w:tcW w:type="dxa" w:w="5040"/>
          </w:tcPr>
          <w:p>
            <w:r>
              <w:t>Result</w:t>
            </w:r>
          </w:p>
        </w:tc>
      </w:tr>
      <w:tr>
        <w:tc>
          <w:tcPr>
            <w:tcW w:type="dxa" w:w="5040"/>
          </w:tcPr>
          <w:p>
            <w:r>
              <w:t>Notice identified</w:t>
            </w:r>
          </w:p>
        </w:tc>
        <w:tc>
          <w:tcPr>
            <w:tcW w:type="dxa" w:w="5040"/>
          </w:tcPr>
          <w:p>
            <w:r>
              <w:t>GST ASMT-10 relating to a return discrepancy.</w:t>
            </w:r>
          </w:p>
        </w:tc>
      </w:tr>
      <w:tr>
        <w:tc>
          <w:tcPr>
            <w:tcW w:type="dxa" w:w="5040"/>
          </w:tcPr>
          <w:p>
            <w:r>
              <w:t>Core discrepancy</w:t>
            </w:r>
          </w:p>
        </w:tc>
        <w:tc>
          <w:tcPr>
            <w:tcW w:type="dxa" w:w="5040"/>
          </w:tcPr>
          <w:p>
            <w:r>
              <w:t>Illustrative mismatch of Rs. 2,40,000 between GSTR-1 and GSTR-3B.</w:t>
            </w:r>
          </w:p>
        </w:tc>
      </w:tr>
      <w:tr>
        <w:tc>
          <w:tcPr>
            <w:tcW w:type="dxa" w:w="5040"/>
          </w:tcPr>
          <w:p>
            <w:r>
              <w:t>Immediate requirement</w:t>
            </w:r>
          </w:p>
        </w:tc>
        <w:tc>
          <w:tcPr>
            <w:tcW w:type="dxa" w:w="5040"/>
          </w:tcPr>
          <w:p>
            <w:r>
              <w:t>Reconcile the reported figures and determine whether the difference is timing-related, clerical, already corrected, or represents an actual short payment.</w:t>
            </w:r>
          </w:p>
        </w:tc>
      </w:tr>
      <w:tr>
        <w:tc>
          <w:tcPr>
            <w:tcW w:type="dxa" w:w="5040"/>
          </w:tcPr>
          <w:p>
            <w:r>
              <w:t>Risk classification</w:t>
            </w:r>
          </w:p>
        </w:tc>
        <w:tc>
          <w:tcPr>
            <w:tcW w:type="dxa" w:w="5040"/>
          </w:tcPr>
          <w:p>
            <w:r>
              <w:t>MEDIUM - the matter requires a time-bound response and reconciliation, but the dummy facts do not by themselves establish tax liability.</w:t>
            </w:r>
          </w:p>
        </w:tc>
      </w:tr>
      <w:tr>
        <w:tc>
          <w:tcPr>
            <w:tcW w:type="dxa" w:w="5040"/>
          </w:tcPr>
          <w:p>
            <w:r>
              <w:t>Priority</w:t>
            </w:r>
          </w:p>
        </w:tc>
        <w:tc>
          <w:tcPr>
            <w:tcW w:type="dxa" w:w="5040"/>
          </w:tcPr>
          <w:p>
            <w:r>
              <w:t>High operational priority because the response period is limited.</w:t>
            </w:r>
          </w:p>
        </w:tc>
      </w:tr>
      <w:tr>
        <w:tc>
          <w:tcPr>
            <w:tcW w:type="dxa" w:w="5040"/>
          </w:tcPr>
          <w:p>
            <w:r>
              <w:t>Documents to verify</w:t>
            </w:r>
          </w:p>
        </w:tc>
        <w:tc>
          <w:tcPr>
            <w:tcW w:type="dxa" w:w="5040"/>
          </w:tcPr>
          <w:p>
            <w:r>
              <w:t>Notice, filed GSTR-1 and GSTR-3B, sales register, amendments, credit/debit notes, tax payment records and reconciliation statement.</w:t>
            </w:r>
          </w:p>
        </w:tc>
      </w:tr>
      <w:tr>
        <w:tc>
          <w:tcPr>
            <w:tcW w:type="dxa" w:w="5040"/>
          </w:tcPr>
          <w:p>
            <w:r>
              <w:t>Human review required</w:t>
            </w:r>
          </w:p>
        </w:tc>
        <w:tc>
          <w:tcPr>
            <w:tcW w:type="dxa" w:w="5040"/>
          </w:tcPr>
          <w:p>
            <w:r>
              <w:t>Yes. A CA should verify figures, legal position, evidence, portal status and final wording before filing.</w:t>
            </w:r>
          </w:p>
        </w:tc>
      </w:tr>
    </w:tbl>
    <w:p>
      <w:pPr>
        <w:pStyle w:val="Heading1"/>
      </w:pPr>
      <w:r>
        <w:t>4. Recommended Action Workflow</w:t>
      </w:r>
    </w:p>
    <w:p>
      <w:r>
        <w:t>1. Read the complete notice and confirm the exact discrepancy, tax period and response due date.</w:t>
      </w:r>
    </w:p>
    <w:p>
      <w:r>
        <w:t>2. Download and compare the relevant GSTR-1 and GSTR-3B returns with the books of account.</w:t>
      </w:r>
    </w:p>
    <w:p>
      <w:r>
        <w:t>3. Prepare a month-wise reconciliation and identify the reason for each difference.</w:t>
      </w:r>
    </w:p>
    <w:p>
      <w:r>
        <w:t>4. Collect documentary support for amendments, credit notes, debit notes, tax payments or timing differences.</w:t>
      </w:r>
    </w:p>
    <w:p>
      <w:r>
        <w:t>5. Determine whether any corrective payment/action is actually required after professional verification.</w:t>
      </w:r>
    </w:p>
    <w:p>
      <w:r>
        <w:t>6. Prepare a factual reply with a reconciliation statement and supporting documents.</w:t>
      </w:r>
    </w:p>
    <w:p>
      <w:r>
        <w:t>7. Have the final response reviewed by the responsible CA before submission on the GST portal.</w:t>
      </w:r>
    </w:p>
    <w:p>
      <w:r>
        <w:t>8. Save the acknowledgement and final reply in the compliance record for future tracking.</w:t>
      </w:r>
    </w:p>
    <w:p>
      <w:pPr>
        <w:pStyle w:val="Heading1"/>
      </w:pPr>
      <w:r>
        <w:t>5. Illustrative Reply Framework</w:t>
      </w:r>
    </w:p>
    <w:p>
      <w:r>
        <w:t>Subject: Response to GST ASMT-10 - Reconciliation of reported outward tax liability</w:t>
      </w:r>
    </w:p>
    <w:p>
      <w:r>
        <w:t>The notice has been reviewed and the difference referred to therein has been reconciled with the relevant returns and books of account. A period-wise reconciliation, together with supporting records, should be attached to explain the nature of the difference. Any statement regarding tax already discharged, amendment, timing difference or further payment should be inserted only after verification of the actual records.</w:t>
      </w:r>
    </w:p>
    <w:p>
      <w:pPr>
        <w:pStyle w:val="Heading1"/>
      </w:pPr>
      <w:r>
        <w:t>6. Risk Flags for Dashboard / Follow-up</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Risk Item</w:t>
            </w:r>
          </w:p>
        </w:tc>
        <w:tc>
          <w:tcPr>
            <w:tcW w:type="dxa" w:w="3360"/>
          </w:tcPr>
          <w:p>
            <w:r>
              <w:t>Required Control</w:t>
            </w:r>
          </w:p>
        </w:tc>
        <w:tc>
          <w:tcPr>
            <w:tcW w:type="dxa" w:w="3360"/>
          </w:tcPr>
          <w:p>
            <w:r>
              <w:t>Priority</w:t>
            </w:r>
          </w:p>
        </w:tc>
      </w:tr>
      <w:tr>
        <w:tc>
          <w:tcPr>
            <w:tcW w:type="dxa" w:w="3360"/>
          </w:tcPr>
          <w:p>
            <w:r>
              <w:t>Response deadline</w:t>
            </w:r>
          </w:p>
        </w:tc>
        <w:tc>
          <w:tcPr>
            <w:tcW w:type="dxa" w:w="3360"/>
          </w:tcPr>
          <w:p>
            <w:r>
              <w:t>Track until reply is filed</w:t>
            </w:r>
          </w:p>
        </w:tc>
        <w:tc>
          <w:tcPr>
            <w:tcW w:type="dxa" w:w="3360"/>
          </w:tcPr>
          <w:p>
            <w:r>
              <w:t>High</w:t>
            </w:r>
          </w:p>
        </w:tc>
      </w:tr>
      <w:tr>
        <w:tc>
          <w:tcPr>
            <w:tcW w:type="dxa" w:w="3360"/>
          </w:tcPr>
          <w:p>
            <w:r>
              <w:t>Return mismatch</w:t>
            </w:r>
          </w:p>
        </w:tc>
        <w:tc>
          <w:tcPr>
            <w:tcW w:type="dxa" w:w="3360"/>
          </w:tcPr>
          <w:p>
            <w:r>
              <w:t>Reconciliation required</w:t>
            </w:r>
          </w:p>
        </w:tc>
        <w:tc>
          <w:tcPr>
            <w:tcW w:type="dxa" w:w="3360"/>
          </w:tcPr>
          <w:p>
            <w:r>
              <w:t>Medium</w:t>
            </w:r>
          </w:p>
        </w:tc>
      </w:tr>
      <w:tr>
        <w:tc>
          <w:tcPr>
            <w:tcW w:type="dxa" w:w="3360"/>
          </w:tcPr>
          <w:p>
            <w:r>
              <w:t>Supporting evidence</w:t>
            </w:r>
          </w:p>
        </w:tc>
        <w:tc>
          <w:tcPr>
            <w:tcW w:type="dxa" w:w="3360"/>
          </w:tcPr>
          <w:p>
            <w:r>
              <w:t>Confirm completeness before filing</w:t>
            </w:r>
          </w:p>
        </w:tc>
        <w:tc>
          <w:tcPr>
            <w:tcW w:type="dxa" w:w="3360"/>
          </w:tcPr>
          <w:p>
            <w:r>
              <w:t>Medium</w:t>
            </w:r>
          </w:p>
        </w:tc>
      </w:tr>
      <w:tr>
        <w:tc>
          <w:tcPr>
            <w:tcW w:type="dxa" w:w="3360"/>
          </w:tcPr>
          <w:p>
            <w:r>
              <w:t>Final legal/factual review</w:t>
            </w:r>
          </w:p>
        </w:tc>
        <w:tc>
          <w:tcPr>
            <w:tcW w:type="dxa" w:w="3360"/>
          </w:tcPr>
          <w:p>
            <w:r>
              <w:t>Mandatory CA verification</w:t>
            </w:r>
          </w:p>
        </w:tc>
        <w:tc>
          <w:tcPr>
            <w:tcW w:type="dxa" w:w="3360"/>
          </w:tcPr>
          <w:p>
            <w:r>
              <w:t>High</w:t>
            </w:r>
          </w:p>
        </w:tc>
      </w:tr>
    </w:tbl>
    <w:p>
      <w:pPr>
        <w:pStyle w:val="Heading1"/>
      </w:pPr>
      <w:r>
        <w:t>7. Role of AI and Human Oversight</w:t>
      </w:r>
    </w:p>
    <w:p>
      <w:r>
        <w:t>AI is used here as an assistance layer: it can summarise notices, extract deadlines, classify issues, organise documents, generate reconciliation checklists and create a first-draft response framework. It does not replace professional judgement. Final figures, statutory interpretation, supporting evidence and portal filing remain subject to verification and approval by the Chartered Accountant.</w:t>
      </w:r>
    </w:p>
    <w:p>
      <w:pPr>
        <w:pStyle w:val="Heading1"/>
      </w:pPr>
      <w:r>
        <w:t>8. Connection with the Capstone Architecture</w:t>
      </w:r>
    </w:p>
    <w:p>
      <w:r>
        <w:t>The AI Analysis module can receive data from the Dummy Data folder, pass risk indicators to the Dashboard/Risk Analyser, and support a final compliance response. In a future implementation, workflow tools such as n8n may be used to connect email, document storage, AI analysis, reminders and other applications, subject to access controls and professional review.</w:t>
      </w:r>
    </w:p>
    <w:p>
      <w:pPr>
        <w:pStyle w:val="Heading1"/>
      </w:pPr>
      <w:r>
        <w:t>9. Capstone Demonstration Note</w:t>
      </w:r>
    </w:p>
    <w:p>
      <w:r>
        <w:t>During the video demonstration, this file can be opened to show the sequence: dummy statutory input -&gt; AI extraction and analysis -&gt; risk classification -&gt; recommended action -&gt; human verification. This provides a simple, auditable demonstration of AI-assisted statutory compliance and notice intelligence.</w:t>
      </w:r>
    </w:p>
    <w:p>
      <w:pPr>
        <w:jc w:val="center"/>
      </w:pPr>
      <w:r>
        <w:rPr>
          <w:b/>
        </w:rPr>
        <w:t>ACADEMIC DEMONSTRATION - DUMMY DATA ONLY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