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Digital ITR Consultancy</w:t>
      </w:r>
    </w:p>
    <w:p>
      <w:pPr>
        <w:spacing w:after="100"/>
        <w:jc w:val="center"/>
      </w:pPr>
      <w:r>
        <w:rPr>
          <w:sz w:val="28"/>
          <w:szCs w:val="28"/>
        </w:rPr>
        <w:t xml:space="preserve">An AI-Automated Tax Advisory Platform</w:t>
      </w:r>
    </w:p>
    <w:p>
      <w:pPr>
        <w:spacing w:after="100"/>
        <w:jc w:val="center"/>
      </w:pPr>
      <w:r>
        <w:rPr>
          <w:i/>
          <w:iCs/>
        </w:rPr>
        <w:t xml:space="preserve">Built with n8n + AI Agent (OpenAI), a self-updating Supabase knowledge base, and live web verification — Project Summary</w:t>
      </w:r>
    </w:p>
    <w:p>
      <w:pPr>
        <w:spacing w:after="300"/>
        <w:jc w:val="center"/>
      </w:pPr>
      <w:r>
        <w:rPr>
          <w:b/>
          <w:bCs/>
        </w:rPr>
        <w:t xml:space="preserve">Prepared by CA Gitanjali Kansal | AICA-L2B85, Chandigarh Branch</w:t>
      </w:r>
    </w:p>
    <w:p>
      <w:pPr>
        <w:pStyle w:val="Heading1"/>
        <w:spacing w:after="150" w:before="300"/>
      </w:pPr>
      <w:r>
        <w:t xml:space="preserve">1. Problem Identification</w:t>
      </w:r>
    </w:p>
    <w:p>
      <w:pPr>
        <w:spacing w:after="120"/>
      </w:pPr>
      <w:r>
        <w:t xml:space="preserve">Chartered Accountants in full-time employment have limited bandwidth to run a traditional advisory practice, yet there is strong, recurring demand from salaried individuals, investors, and small business owners for affordable, reliable tax-saving guidance ahead of every filing season. The core challenges identified were:</w:t>
      </w:r>
    </w:p>
    <w:p>
      <w:pPr>
        <w:pStyle w:val="ListParagraph"/>
        <w:numPr>
          <w:ilvl w:val="0"/>
          <w:numId w:val="2"/>
        </w:numPr>
        <w:spacing w:after="80"/>
      </w:pPr>
      <w:r>
        <w:rPr>
          <w:b/>
          <w:bCs/>
        </w:rPr>
        <w:t xml:space="preserve">Scale vs. time: </w:t>
      </w:r>
      <w:r>
        <w:t xml:space="preserve">Every ITR type filing (ITR-1 through ITR-4) requires manually reviewing income documents, checking deductions, and comparing tax regimes — a repetitive, time-consuming task at volume.</w:t>
      </w:r>
    </w:p>
    <w:p>
      <w:pPr>
        <w:pStyle w:val="ListParagraph"/>
        <w:numPr>
          <w:ilvl w:val="0"/>
          <w:numId w:val="2"/>
        </w:numPr>
        <w:spacing w:after="80"/>
      </w:pPr>
      <w:r>
        <w:rPr>
          <w:b/>
          <w:bCs/>
        </w:rPr>
        <w:t xml:space="preserve">Limited bandwidth: </w:t>
      </w:r>
      <w:r>
        <w:t xml:space="preserve">A single CA cannot personally onboard, classify, and advise a large number of clients within a tax season while holding a full-time job.</w:t>
      </w:r>
    </w:p>
    <w:p>
      <w:pPr>
        <w:pStyle w:val="ListParagraph"/>
        <w:numPr>
          <w:ilvl w:val="0"/>
          <w:numId w:val="2"/>
        </w:numPr>
        <w:spacing w:after="80"/>
      </w:pPr>
      <w:r>
        <w:rPr>
          <w:b/>
          <w:bCs/>
        </w:rPr>
        <w:t xml:space="preserve">Document friction: </w:t>
      </w:r>
      <w:r>
        <w:t xml:space="preserve">Clients frequently send encrypted AIS/Form 16 documents without mentioning the password, causing manual follow-up delays.</w:t>
      </w:r>
    </w:p>
    <w:p>
      <w:pPr>
        <w:pStyle w:val="ListParagraph"/>
        <w:numPr>
          <w:ilvl w:val="0"/>
          <w:numId w:val="2"/>
        </w:numPr>
        <w:spacing w:after="80"/>
      </w:pPr>
      <w:r>
        <w:rPr>
          <w:b/>
          <w:bCs/>
        </w:rPr>
        <w:t xml:space="preserve">No safe way to pilot: </w:t>
      </w:r>
      <w:r>
        <w:t xml:space="preserve">There was no way to test the entire client journey (payment, document collection, report delivery) without real transactions or manual back-and-forth.</w:t>
      </w:r>
    </w:p>
    <w:p>
      <w:pPr>
        <w:pStyle w:val="ListParagraph"/>
        <w:numPr>
          <w:ilvl w:val="0"/>
          <w:numId w:val="2"/>
        </w:numPr>
        <w:spacing w:after="80"/>
      </w:pPr>
      <w:r>
        <w:rPr>
          <w:b/>
          <w:bCs/>
        </w:rPr>
        <w:t xml:space="preserve">Inconsistent report quality: </w:t>
      </w:r>
      <w:r>
        <w:t xml:space="preserve">Reports produced ad hoc lack a consistent, professional, section-cited format that clearly states the recommended ITR type and tax regime.</w:t>
      </w:r>
    </w:p>
    <w:p>
      <w:pPr>
        <w:pStyle w:val="ListParagraph"/>
        <w:numPr>
          <w:ilvl w:val="0"/>
          <w:numId w:val="2"/>
        </w:numPr>
        <w:spacing w:after="80"/>
      </w:pPr>
      <w:r>
        <w:rPr>
          <w:b/>
          <w:bCs/>
        </w:rPr>
        <w:t xml:space="preserve">Stale or unverifiable tax figures: </w:t>
      </w:r>
      <w:r>
        <w:t xml:space="preserve">A pure LLM has no live connection to the Income Tax Act, so slab rates, limits and rebates can silently go out of date between Assessment Years unless every figure is actively checked against a source.</w:t>
      </w:r>
    </w:p>
    <w:p>
      <w:pPr>
        <w:pStyle w:val="ListParagraph"/>
        <w:numPr>
          <w:ilvl w:val="0"/>
          <w:numId w:val="2"/>
        </w:numPr>
        <w:spacing w:after="80"/>
      </w:pPr>
      <w:r>
        <w:rPr>
          <w:b/>
          <w:bCs/>
        </w:rPr>
        <w:t xml:space="preserve">One-size-fits-all reporting: </w:t>
      </w:r>
      <w:r>
        <w:t xml:space="preserve">The client and the reviewing CA need very different things from the same report — the CA needs full detail and every verification flag to review quickly; the client needs a short, jargon-light summary, not an internal audit trail.</w:t>
      </w:r>
    </w:p>
    <w:p>
      <w:pPr>
        <w:pStyle w:val="Heading1"/>
        <w:spacing w:after="150" w:before="300"/>
      </w:pPr>
      <w:r>
        <w:t xml:space="preserve">2. Solutions Driven by AI</w:t>
      </w:r>
    </w:p>
    <w:p>
      <w:pPr>
        <w:spacing w:after="120"/>
      </w:pPr>
      <w:r>
        <w:t xml:space="preserve">An AI Agent (powered by OpenAI, orchestrated through n8n) sits at the core of the advisory pipeline, backed by a knowledge base it can both consult and grow, while a Chartered Accountant remains firmly in the approval loop:</w:t>
      </w:r>
    </w:p>
    <w:p>
      <w:pPr>
        <w:pStyle w:val="ListParagraph"/>
        <w:numPr>
          <w:ilvl w:val="0"/>
          <w:numId w:val="2"/>
        </w:numPr>
        <w:spacing w:after="80"/>
      </w:pPr>
      <w:r>
        <w:rPr>
          <w:b/>
          <w:bCs/>
        </w:rPr>
        <w:t xml:space="preserve">Document analysis: </w:t>
      </w:r>
      <w:r>
        <w:t xml:space="preserve">The AI reads the client's uploaded document (Form 16, capital gains statement, P&amp;L, turnover summary, etc.) and produces a structured analysis — old vs. new regime tax comparison, unused deductions, capital gains computation, and presumptive scheme eligibility.</w:t>
      </w:r>
    </w:p>
    <w:p>
      <w:pPr>
        <w:pStyle w:val="ListParagraph"/>
        <w:numPr>
          <w:ilvl w:val="0"/>
          <w:numId w:val="2"/>
        </w:numPr>
        <w:spacing w:after="80"/>
      </w:pPr>
      <w:r>
        <w:rPr>
          <w:b/>
          <w:bCs/>
        </w:rPr>
        <w:t xml:space="preserve">Client-declared cross-checking: </w:t>
      </w:r>
      <w:r>
        <w:t xml:space="preserve">The intake form now also captures PAN, Assessment Year, Financial Year and itemised deduction amounts (80C, 80D, 80TTA/80TTB, HRA, Section 24(b), 80CCD(1B)); the agent is instructed to cross-check these against the document and flag any discrepancy rather than silently trusting either source.</w:t>
      </w:r>
    </w:p>
    <w:p>
      <w:pPr>
        <w:pStyle w:val="ListParagraph"/>
        <w:numPr>
          <w:ilvl w:val="0"/>
          <w:numId w:val="2"/>
        </w:numPr>
        <w:spacing w:after="80"/>
      </w:pPr>
      <w:r>
        <w:rPr>
          <w:b/>
          <w:bCs/>
        </w:rPr>
        <w:t xml:space="preserve">Mandatory, source-backed tax-figure verification: </w:t>
      </w:r>
      <w:r>
        <w:t xml:space="preserve">Before stating any numeric tax figure, rate, slab boundary, or deduction limit, the agent must check a curated Knowledge Base tool first; if that doesn't confirm the figure, it runs a live web search restricted to official government sources (incometaxindia.gov.in and egazette.gov.in); if a figure still can't be confirmed by either route, the report carries an explicit 'UNVERIFIED: ...' flag rather than presenting an unverified number as certain.</w:t>
      </w:r>
    </w:p>
    <w:p>
      <w:pPr>
        <w:pStyle w:val="ListParagraph"/>
        <w:numPr>
          <w:ilvl w:val="0"/>
          <w:numId w:val="2"/>
        </w:numPr>
        <w:spacing w:after="80"/>
      </w:pPr>
      <w:r>
        <w:rPr>
          <w:b/>
          <w:bCs/>
        </w:rPr>
        <w:t xml:space="preserve">A self-building knowledge base: </w:t>
      </w:r>
      <w:r>
        <w:t xml:space="preserve">Whenever the agent verifies a figure via live search, it is required to save that content back into the same Supabase knowledge base (with its section, effective Assessment Year, and source URL) so the next client's question on the same point is answered instantly from the Knowledge Base instead of triggering another live search — the library grows through use instead of needing constant manual curation.</w:t>
      </w:r>
    </w:p>
    <w:p>
      <w:pPr>
        <w:pStyle w:val="ListParagraph"/>
        <w:numPr>
          <w:ilvl w:val="0"/>
          <w:numId w:val="2"/>
        </w:numPr>
        <w:spacing w:after="80"/>
      </w:pPr>
      <w:r>
        <w:rPr>
          <w:b/>
          <w:bCs/>
        </w:rPr>
        <w:t xml:space="preserve">Income Tax Act compliance: </w:t>
      </w:r>
      <w:r>
        <w:t xml:space="preserve">System prompts embed current Indian Income Tax Act reference points (slab rates, Section 80C/80D/80TTA/80TTB limits, Sections 54/54F/54EC, presumptive scheme thresholds) so recommendations are grounded in law and cite the specific section for every deduction or exemption.</w:t>
      </w:r>
    </w:p>
    <w:p>
      <w:pPr>
        <w:pStyle w:val="ListParagraph"/>
        <w:numPr>
          <w:ilvl w:val="0"/>
          <w:numId w:val="2"/>
        </w:numPr>
        <w:spacing w:after="80"/>
      </w:pPr>
      <w:r>
        <w:rPr>
          <w:b/>
          <w:bCs/>
        </w:rPr>
        <w:t xml:space="preserve">Grounded, not fabricated: </w:t>
      </w:r>
      <w:r>
        <w:t xml:space="preserve">The AI is explicitly instructed to base every figure strictly on the uploaded document and client-declared data, and to flag — rather than guess — wherever data is insufficient or a rate needs verification.</w:t>
      </w:r>
    </w:p>
    <w:p>
      <w:pPr>
        <w:pStyle w:val="ListParagraph"/>
        <w:numPr>
          <w:ilvl w:val="0"/>
          <w:numId w:val="2"/>
        </w:numPr>
        <w:spacing w:after="80"/>
      </w:pPr>
      <w:r>
        <w:rPr>
          <w:b/>
          <w:bCs/>
        </w:rPr>
        <w:t xml:space="preserve">Automated password recovery: </w:t>
      </w:r>
      <w:r>
        <w:t xml:space="preserve">For encrypted AIS/Form 16 PDFs, the system first checks if the client stated a password in their reply; if not, it automatically derives the password using the standard PAN + Date-of-Birth convention.</w:t>
      </w:r>
    </w:p>
    <w:p>
      <w:pPr>
        <w:pStyle w:val="ListParagraph"/>
        <w:numPr>
          <w:ilvl w:val="0"/>
          <w:numId w:val="2"/>
        </w:numPr>
        <w:spacing w:after="80"/>
      </w:pPr>
      <w:r>
        <w:rPr>
          <w:b/>
          <w:bCs/>
        </w:rPr>
        <w:t xml:space="preserve">Two report formats from one analysis: </w:t>
      </w:r>
      <w:r>
        <w:t xml:space="preserve">The same structured JSON output is rendered into a full, tabular report (with every verification flag) for the CA's quick review, and a separate, concise, flag-free summary in plain language for the client — so the CA sees everything, and the client sees only what's actionable for them.</w:t>
      </w:r>
    </w:p>
    <w:p>
      <w:pPr>
        <w:pStyle w:val="ListParagraph"/>
        <w:numPr>
          <w:ilvl w:val="0"/>
          <w:numId w:val="2"/>
        </w:numPr>
        <w:spacing w:after="80"/>
      </w:pPr>
      <w:r>
        <w:rPr>
          <w:b/>
          <w:bCs/>
        </w:rPr>
        <w:t xml:space="preserve">Human-in-the-loop safeguard: </w:t>
      </w:r>
      <w:r>
        <w:t xml:space="preserve">No report reaches a client without the CA reviewing (and optionally editing, via the Word file) and explicitly approving it first.</w:t>
      </w:r>
    </w:p>
    <w:p>
      <w:pPr>
        <w:pStyle w:val="ListParagraph"/>
        <w:numPr>
          <w:ilvl w:val="0"/>
          <w:numId w:val="2"/>
        </w:numPr>
        <w:spacing w:after="80"/>
      </w:pPr>
      <w:r>
        <w:rPr>
          <w:b/>
          <w:bCs/>
        </w:rPr>
        <w:t xml:space="preserve">Faster, cheaper report generation: </w:t>
      </w:r>
      <w:r>
        <w:t xml:space="preserve">The AI Agent is capped at 6 reasoning iterations and instructed to make at most one combined tool call per source, replacing an earlier pattern of checking figures one at a time — this materially cut down both the time and the token cost of each report.</w:t>
      </w:r>
    </w:p>
    <w:p>
      <w:pPr>
        <w:pStyle w:val="Heading1"/>
        <w:spacing w:after="150" w:before="300"/>
      </w:pPr>
      <w:r>
        <w:t xml:space="preserve">3. System Architecture (Updated)</w:t>
      </w:r>
    </w:p>
    <w:p>
      <w:pPr>
        <w:spacing w:after="120"/>
      </w:pPr>
      <w:r>
        <w:t xml:space="preserve">The system is now five interlinked n8n workflows, each triggered by a different real-world event:</w:t>
      </w:r>
    </w:p>
    <w:p>
      <w:pPr>
        <w:pStyle w:val="Heading2"/>
        <w:spacing w:after="100" w:before="200"/>
      </w:pPr>
      <w:r>
        <w:t xml:space="preserve">Workflow 01 — Intake &amp; Dummy Payment</w:t>
      </w:r>
    </w:p>
    <w:p>
      <w:pPr>
        <w:spacing w:after="120"/>
      </w:pPr>
      <w:r>
        <w:t xml:space="preserve">A multi-step intake form collects the client's details (name, email, DOB, PAN, Assessment Year, Financial Year, income profile, and itemised deduction amounts). A Code node classifies the correct ITR type (1-4) and price tier from the answers, logs the entry to a Google Sheets CRM, and routes the client through a safe, dummy “Simulate Payment” step (swappable for a real gateway later without touching the rest of the flow). The document checklist emailed to the client is now built dynamically from their actual declared deductions, rather than a fixed list per ITR type.</w:t>
      </w:r>
    </w:p>
    <w:p>
      <w:pPr>
        <w:pStyle w:val="Heading2"/>
        <w:spacing w:after="100" w:before="200"/>
      </w:pPr>
      <w:r>
        <w:t xml:space="preserve">Workflow 02 — Document Intake via Email</w:t>
      </w:r>
    </w:p>
    <w:p>
      <w:pPr>
        <w:spacing w:after="120"/>
      </w:pPr>
      <w:r>
        <w:t xml:space="preserve">Watches the inbox for client replies containing attachments. It identifies the sender, looks them up in the CRM, creates a dedicated Drive folder in their name, saves the attachments there with a standard naming convention, and hands off to Workflow 03 together with the client's declared PAN, AY/FY and deduction figures.</w:t>
      </w:r>
    </w:p>
    <w:p>
      <w:pPr>
        <w:pStyle w:val="Heading2"/>
        <w:spacing w:after="100" w:before="200"/>
      </w:pPr>
      <w:r>
        <w:t xml:space="preserve">Workflow 03 — Report Generation &amp; Approval</w:t>
      </w:r>
    </w:p>
    <w:p>
      <w:pPr>
        <w:spacing w:after="120"/>
      </w:pPr>
      <w:r>
        <w:t xml:space="preserve">Triggered directly by Workflow 02 once a document is uploaded. It downloads the file, extracts its text (applying the password fallback if needed), sends it to the AI Agent with the ITR-type-specific prompt and the mandatory verification instructions, parses the structured JSON response into two report versions, generates an editable Word document and PDF (using the full CA-facing version), and emails the CA both an editable copy and an approve/revise request showing the full tabular report. Only on explicit CA approval is the concise client-facing report emailed to the client, with the outcome logged back to the CRM.</w:t>
      </w:r>
    </w:p>
    <w:p>
      <w:pPr>
        <w:pStyle w:val="Heading2"/>
        <w:spacing w:after="100" w:before="200"/>
      </w:pPr>
      <w:r>
        <w:t xml:space="preserve">Workflow 04 — ITR Knowledge Base — Ingestion (new)</w:t>
      </w:r>
    </w:p>
    <w:p>
      <w:pPr>
        <w:spacing w:after="120"/>
      </w:pPr>
      <w:r>
        <w:t xml:space="preserve">Watches a dedicated Google Drive folder of tax-law source documents (bare Act sections, circulars, slab-rate notifications) and, on a manual backfill trigger or as new files arrive, extracts their text, tags it with section/Assessment-Year/document-type metadata, and embeds it into the Supabase vector table that Workflow 03's Knowledge Base tool searches.</w:t>
      </w:r>
    </w:p>
    <w:p>
      <w:pPr>
        <w:pStyle w:val="Heading2"/>
        <w:spacing w:after="100" w:before="200"/>
      </w:pPr>
      <w:r>
        <w:t xml:space="preserve">Workflow 05 — Tax Knowledge Base — Live Search Cache Writer (new)</w:t>
      </w:r>
    </w:p>
    <w:p>
      <w:pPr>
        <w:spacing w:after="120"/>
      </w:pPr>
      <w:r>
        <w:t xml:space="preserve">A small sub-workflow, callable only by the AI Agent in Workflow 03 (via an Execute Workflow Tool), that takes verified content the agent found through live search and writes it into the same Supabase table used by Workflow 04 — the mechanism that makes the knowledge base grow on its own.</w:t>
      </w:r>
    </w:p>
    <w:p>
      <w:pPr>
        <w:pStyle w:val="Heading1"/>
        <w:spacing w:after="150" w:before="300"/>
      </w:pPr>
      <w:r>
        <w:t xml:space="preserve">4. Tools &amp; Technology Used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EEF4FF" w:val="clear"/>
          </w:tcPr>
          <w:p>
            <w:r>
              <w:rPr>
                <w:b/>
                <w:bCs/>
              </w:rPr>
              <w:t xml:space="preserve">Orchestration / Backend</w:t>
            </w:r>
          </w:p>
        </w:tc>
        <w:tc>
          <w:tcPr>
            <w:tcW w:type="dxa" w:w="7300"/>
          </w:tcPr>
          <w:p>
            <w:r>
              <w:t xml:space="preserve">n8n — workflow automation platform running all business logic, branching, and integrations; custom Code (JavaScript) nodes for classification, parsing, and report rendering</w:t>
            </w:r>
          </w:p>
        </w:tc>
      </w:tr>
      <w:tr>
        <w:tc>
          <w:tcPr>
            <w:tcW w:type="dxa" w:w="2600"/>
            <w:shd w:fill="EEF4FF" w:val="clear"/>
          </w:tcPr>
          <w:p>
            <w:r>
              <w:rPr>
                <w:b/>
                <w:bCs/>
              </w:rPr>
              <w:t xml:space="preserve">AI Layer</w:t>
            </w:r>
          </w:p>
        </w:tc>
        <w:tc>
          <w:tcPr>
            <w:tcW w:type="dxa" w:w="7300"/>
          </w:tcPr>
          <w:p>
            <w:r>
              <w:t xml:space="preserve">OpenAI GPT-5-mini, invoked through n8n's native AI Agent node with an attached Chat Model sub-node (initially prototyped on the Claude API before migrating to the OpenAI Agent); capped at 6 reasoning iterations and instructed to make at most one combined tool call per source to control latency and token cost</w:t>
            </w:r>
          </w:p>
        </w:tc>
      </w:tr>
      <w:tr>
        <w:tc>
          <w:tcPr>
            <w:tcW w:type="dxa" w:w="2600"/>
            <w:shd w:fill="EEF4FF" w:val="clear"/>
          </w:tcPr>
          <w:p>
            <w:r>
              <w:rPr>
                <w:b/>
                <w:bCs/>
              </w:rPr>
              <w:t xml:space="preserve">Agent Tools</w:t>
            </w:r>
          </w:p>
        </w:tc>
        <w:tc>
          <w:tcPr>
            <w:tcW w:type="dxa" w:w="7300"/>
          </w:tcPr>
          <w:p>
            <w:r>
              <w:t xml:space="preserve">Three tools attached to the AI Agent: a Knowledge Base search tool (Supabase vector store, retrieve-as-tool mode), a live web-search tool (Tavily, restricted to incometaxindia.gov.in / egazette.gov.in), and a Cache-Write tool (an Execute Workflow Tool calling Workflow 05) — used in that order before any numeric tax figure is stated</w:t>
            </w:r>
          </w:p>
        </w:tc>
      </w:tr>
      <w:tr>
        <w:tc>
          <w:tcPr>
            <w:tcW w:type="dxa" w:w="2600"/>
            <w:shd w:fill="EEF4FF" w:val="clear"/>
          </w:tcPr>
          <w:p>
            <w:r>
              <w:rPr>
                <w:b/>
                <w:bCs/>
              </w:rPr>
              <w:t xml:space="preserve">Knowledge Base</w:t>
            </w:r>
          </w:p>
        </w:tc>
        <w:tc>
          <w:tcPr>
            <w:tcW w:type="dxa" w:w="7300"/>
          </w:tcPr>
          <w:p>
            <w:r>
              <w:t xml:space="preserve">Supabase (Postgres + pgvector) — a tax_knowledge_base table storing embedded chunks of tax-law text tagged with source_filename, section_reference, effective_from and document_type metadata; populated both by a dedicated Ingestion workflow and by the AI Agent's own live-search caching</w:t>
            </w:r>
          </w:p>
        </w:tc>
      </w:tr>
      <w:tr>
        <w:tc>
          <w:tcPr>
            <w:tcW w:type="dxa" w:w="2600"/>
            <w:shd w:fill="EEF4FF" w:val="clear"/>
          </w:tcPr>
          <w:p>
            <w:r>
              <w:rPr>
                <w:b/>
                <w:bCs/>
              </w:rPr>
              <w:t xml:space="preserve">Frontend / Client Interface</w:t>
            </w:r>
          </w:p>
        </w:tc>
        <w:tc>
          <w:tcPr>
            <w:tcW w:type="dxa" w:w="7300"/>
          </w:tcPr>
          <w:p>
            <w:r>
              <w:t xml:space="preserve">n8n Form nodes — a multi-step hosted web form for intake (now including PAN, Assessment Year, Financial Year and itemised deduction amounts) and the dummy-payment simulation page; no separate frontend codebase required</w:t>
            </w:r>
          </w:p>
        </w:tc>
      </w:tr>
      <w:tr>
        <w:tc>
          <w:tcPr>
            <w:tcW w:type="dxa" w:w="2600"/>
            <w:shd w:fill="EEF4FF" w:val="clear"/>
          </w:tcPr>
          <w:p>
            <w:r>
              <w:rPr>
                <w:b/>
                <w:bCs/>
              </w:rPr>
              <w:t xml:space="preserve">Database / CRM</w:t>
            </w:r>
          </w:p>
        </w:tc>
        <w:tc>
          <w:tcPr>
            <w:tcW w:type="dxa" w:w="7300"/>
          </w:tcPr>
          <w:p>
            <w:r>
              <w:t xml:space="preserve">Google Sheets — acting as the lightweight CRM, storing client details, ITR classification, declared deduction amounts, payment status, and report status per row</w:t>
            </w:r>
          </w:p>
        </w:tc>
      </w:tr>
      <w:tr>
        <w:tc>
          <w:tcPr>
            <w:tcW w:type="dxa" w:w="2600"/>
            <w:shd w:fill="EEF4FF" w:val="clear"/>
          </w:tcPr>
          <w:p>
            <w:r>
              <w:rPr>
                <w:b/>
                <w:bCs/>
              </w:rPr>
              <w:t xml:space="preserve">Document Storage</w:t>
            </w:r>
          </w:p>
        </w:tc>
        <w:tc>
          <w:tcPr>
            <w:tcW w:type="dxa" w:w="7300"/>
          </w:tcPr>
          <w:p>
            <w:r>
              <w:t xml:space="preserve">Google Drive — per-client folders for uploaded documents and generated reports, plus a separate folder of source tax-law PDFs watched by the Ingestion workflow; Google Docs used as an intermediate format for DOCX/PDF export</w:t>
            </w:r>
          </w:p>
        </w:tc>
      </w:tr>
      <w:tr>
        <w:tc>
          <w:tcPr>
            <w:tcW w:type="dxa" w:w="2600"/>
            <w:shd w:fill="EEF4FF" w:val="clear"/>
          </w:tcPr>
          <w:p>
            <w:r>
              <w:rPr>
                <w:b/>
                <w:bCs/>
              </w:rPr>
              <w:t xml:space="preserve">Communication</w:t>
            </w:r>
          </w:p>
        </w:tc>
        <w:tc>
          <w:tcPr>
            <w:tcW w:type="dxa" w:w="7300"/>
          </w:tcPr>
          <w:p>
            <w:r>
              <w:t xml:space="preserve">Gmail — used both for triggers (watching for client replies) and for sending automated emails, including the CA's approve/revise request via Gmail's Send-and-Wait feature</w:t>
            </w:r>
          </w:p>
        </w:tc>
      </w:tr>
      <w:tr>
        <w:tc>
          <w:tcPr>
            <w:tcW w:type="dxa" w:w="2600"/>
            <w:shd w:fill="EEF4FF" w:val="clear"/>
          </w:tcPr>
          <w:p>
            <w:r>
              <w:rPr>
                <w:b/>
                <w:bCs/>
              </w:rPr>
              <w:t xml:space="preserve">Credentials / API Keys</w:t>
            </w:r>
          </w:p>
        </w:tc>
        <w:tc>
          <w:tcPr>
            <w:tcW w:type="dxa" w:w="7300"/>
          </w:tcPr>
          <w:p>
            <w:r>
              <w:t xml:space="preserve">Google OAuth2 (Drive, Sheets, Gmail scopes), an OpenAI API key, a Supabase API credential, and n8n's native Tavily MCP OAuth2 credential — all stored as n8n credentials, never hard-coded in workflow logic</w:t>
            </w:r>
          </w:p>
        </w:tc>
      </w:tr>
      <w:tr>
        <w:tc>
          <w:tcPr>
            <w:tcW w:type="dxa" w:w="2600"/>
            <w:shd w:fill="EEF4FF" w:val="clear"/>
          </w:tcPr>
          <w:p>
            <w:r>
              <w:rPr>
                <w:b/>
                <w:bCs/>
              </w:rPr>
              <w:t xml:space="preserve">Output Formats</w:t>
            </w:r>
          </w:p>
        </w:tc>
        <w:tc>
          <w:tcPr>
            <w:tcW w:type="dxa" w:w="7300"/>
          </w:tcPr>
          <w:p>
            <w:r>
              <w:t xml:space="preserve">Two HTML report versions (a full tabular one for the CA, a concise flag-free one for the client), a Google Doc, DOCX (editable Word file), and PDF — all generated from a single structured report object</w:t>
            </w:r>
          </w:p>
        </w:tc>
      </w:tr>
    </w:tbl>
    <w:p>
      <w:pPr>
        <w:pStyle w:val="Heading1"/>
        <w:spacing w:after="150" w:before="300"/>
      </w:pPr>
      <w:r>
        <w:t xml:space="preserve">5. Structure Followed</w:t>
      </w:r>
    </w:p>
    <w:p>
      <w:pPr>
        <w:pStyle w:val="ListParagraph"/>
        <w:numPr>
          <w:ilvl w:val="0"/>
          <w:numId w:val="2"/>
        </w:numPr>
        <w:spacing w:after="80"/>
      </w:pPr>
      <w:r>
        <w:rPr>
          <w:b/>
          <w:bCs/>
        </w:rPr>
        <w:t xml:space="preserve">Event-driven architecture: </w:t>
      </w:r>
      <w:r>
        <w:t xml:space="preserve">each workflow triggers only on a real event (form submission, inbox reply, direct hand-off, or a new file in a watched Drive folder) — no unnecessary polling once linked.</w:t>
      </w:r>
    </w:p>
    <w:p>
      <w:pPr>
        <w:pStyle w:val="ListParagraph"/>
        <w:numPr>
          <w:ilvl w:val="0"/>
          <w:numId w:val="2"/>
        </w:numPr>
        <w:spacing w:after="80"/>
      </w:pPr>
      <w:r>
        <w:rPr>
          <w:b/>
          <w:bCs/>
        </w:rPr>
        <w:t xml:space="preserve">Separation of concerns: </w:t>
      </w:r>
      <w:r>
        <w:t xml:space="preserve">intake/payment, document collection, report generation, knowledge-base ingestion, and knowledge-base caching are five independent workflows connected by explicit hand-offs, making each piece independently testable.</w:t>
      </w:r>
    </w:p>
    <w:p>
      <w:pPr>
        <w:pStyle w:val="ListParagraph"/>
        <w:numPr>
          <w:ilvl w:val="0"/>
          <w:numId w:val="2"/>
        </w:numPr>
        <w:spacing w:after="80"/>
      </w:pPr>
      <w:r>
        <w:rPr>
          <w:b/>
          <w:bCs/>
        </w:rPr>
        <w:t xml:space="preserve">Defensive validation at entry points: </w:t>
      </w:r>
      <w:r>
        <w:t xml:space="preserve">e.g. a “has file_id” check, so the pipeline fails safely rather than processing incomplete data.</w:t>
      </w:r>
    </w:p>
    <w:p>
      <w:pPr>
        <w:pStyle w:val="ListParagraph"/>
        <w:numPr>
          <w:ilvl w:val="0"/>
          <w:numId w:val="2"/>
        </w:numPr>
        <w:spacing w:after="80"/>
      </w:pPr>
      <w:r>
        <w:rPr>
          <w:b/>
          <w:bCs/>
        </w:rPr>
        <w:t xml:space="preserve">Single source of truth: </w:t>
      </w:r>
      <w:r>
        <w:t xml:space="preserve">the Google Sheets CRM is updated at every key milestone — intake, payment, and report status — giving a full audit trail per client.</w:t>
      </w:r>
    </w:p>
    <w:p>
      <w:pPr>
        <w:pStyle w:val="ListParagraph"/>
        <w:numPr>
          <w:ilvl w:val="0"/>
          <w:numId w:val="2"/>
        </w:numPr>
        <w:spacing w:after="80"/>
      </w:pPr>
      <w:r>
        <w:rPr>
          <w:b/>
          <w:bCs/>
        </w:rPr>
        <w:t xml:space="preserve">Grounding before generation: </w:t>
      </w:r>
      <w:r>
        <w:t xml:space="preserve">no numeric tax figure is stated by the agent without first attempting to confirm it against a curated source or a live official one, with an explicit fallback flag when neither succeeds.</w:t>
      </w:r>
    </w:p>
    <w:p>
      <w:pPr>
        <w:pStyle w:val="ListParagraph"/>
        <w:numPr>
          <w:ilvl w:val="0"/>
          <w:numId w:val="2"/>
        </w:numPr>
        <w:spacing w:after="80"/>
      </w:pPr>
      <w:r>
        <w:rPr>
          <w:b/>
          <w:bCs/>
        </w:rPr>
        <w:t xml:space="preserve">Audience-appropriate reporting: </w:t>
      </w:r>
      <w:r>
        <w:t xml:space="preserve">the same underlying analysis is rendered differently for its two audiences — full detail and flags for the CA, a short actionable summary for the client — rather than sending one document to both.</w:t>
      </w:r>
    </w:p>
    <w:p>
      <w:pPr>
        <w:pStyle w:val="ListParagraph"/>
        <w:numPr>
          <w:ilvl w:val="0"/>
          <w:numId w:val="2"/>
        </w:numPr>
        <w:spacing w:after="80"/>
      </w:pPr>
      <w:r>
        <w:rPr>
          <w:b/>
          <w:bCs/>
        </w:rPr>
        <w:t xml:space="preserve">Human checkpoint before external communication: </w:t>
      </w:r>
      <w:r>
        <w:t xml:space="preserve">every AI-generated report is routed to the CA for review and explicit approval before it ever reaches a client.</w:t>
      </w:r>
    </w:p>
    <w:p>
      <w:pPr>
        <w:pStyle w:val="ListParagraph"/>
        <w:numPr>
          <w:ilvl w:val="0"/>
          <w:numId w:val="2"/>
        </w:numPr>
        <w:spacing w:after="80"/>
      </w:pPr>
      <w:r>
        <w:rPr>
          <w:b/>
          <w:bCs/>
        </w:rPr>
        <w:t xml:space="preserve">Cost- and latency-aware agent design: </w:t>
      </w:r>
      <w:r>
        <w:t xml:space="preserve">explicit iteration caps and consolidated tool-call instructions were added once real execution logs showed the agent was making far more model calls than the task required.</w:t>
      </w:r>
    </w:p>
    <w:p>
      <w:pPr>
        <w:pStyle w:val="Heading1"/>
        <w:spacing w:after="150" w:before="300"/>
      </w:pPr>
      <w:r>
        <w:t xml:space="preserve">6. Output</w:t>
      </w:r>
    </w:p>
    <w:p>
      <w:pPr>
        <w:pStyle w:val="ListParagraph"/>
        <w:numPr>
          <w:ilvl w:val="0"/>
          <w:numId w:val="2"/>
        </w:numPr>
        <w:spacing w:after="80"/>
      </w:pPr>
      <w:r>
        <w:rPr>
          <w:b/>
          <w:bCs/>
        </w:rPr>
        <w:t xml:space="preserve"/>
      </w:r>
      <w:r>
        <w:t xml:space="preserve">A structured tax advisory report identifying the recommended ITR form and the more tax-efficient regime, with section-cited deduction and exemption opportunities, and any figures that could not be verified explicitly flagged.</w:t>
      </w:r>
    </w:p>
    <w:p>
      <w:pPr>
        <w:pStyle w:val="ListParagraph"/>
        <w:numPr>
          <w:ilvl w:val="0"/>
          <w:numId w:val="2"/>
        </w:numPr>
        <w:spacing w:after="80"/>
      </w:pPr>
      <w:r>
        <w:rPr>
          <w:b/>
          <w:bCs/>
        </w:rPr>
        <w:t xml:space="preserve"/>
      </w:r>
      <w:r>
        <w:t xml:space="preserve">Two rendered versions of that report — a full tabular HTML/Word/PDF copy for the CA's review, and a concise, flag-free HTML summary for the client — plus a plain-text version used for the editable Word/PDF documents.</w:t>
      </w:r>
    </w:p>
    <w:p>
      <w:pPr>
        <w:pStyle w:val="ListParagraph"/>
        <w:numPr>
          <w:ilvl w:val="0"/>
          <w:numId w:val="2"/>
        </w:numPr>
        <w:spacing w:after="80"/>
      </w:pPr>
      <w:r>
        <w:rPr>
          <w:b/>
          <w:bCs/>
        </w:rPr>
        <w:t xml:space="preserve"/>
      </w:r>
      <w:r>
        <w:t xml:space="preserve">A fully updated CRM record reflecting the client's ITR type, declared deductions, payment status, and final report status, without manual data entry.</w:t>
      </w:r>
    </w:p>
    <w:p>
      <w:pPr>
        <w:pStyle w:val="ListParagraph"/>
        <w:numPr>
          <w:ilvl w:val="0"/>
          <w:numId w:val="2"/>
        </w:numPr>
        <w:spacing w:after="80"/>
      </w:pPr>
      <w:r>
        <w:rPr>
          <w:b/>
          <w:bCs/>
        </w:rPr>
        <w:t xml:space="preserve"/>
      </w:r>
      <w:r>
        <w:t xml:space="preserve">A growing, source-tagged Supabase knowledge base of verified tax-law content that gets more complete with every client report processed.</w:t>
      </w:r>
    </w:p>
    <w:p>
      <w:pPr>
        <w:pStyle w:val="Heading1"/>
        <w:spacing w:after="150" w:before="300"/>
      </w:pPr>
      <w:r>
        <w:t xml:space="preserve">7. Benefits</w:t>
      </w:r>
    </w:p>
    <w:p>
      <w:pPr>
        <w:pStyle w:val="ListParagraph"/>
        <w:numPr>
          <w:ilvl w:val="0"/>
          <w:numId w:val="2"/>
        </w:numPr>
        <w:spacing w:after="80"/>
      </w:pPr>
      <w:r>
        <w:rPr>
          <w:b/>
          <w:bCs/>
        </w:rPr>
        <w:t xml:space="preserve">Scalability alongside employment: </w:t>
      </w:r>
      <w:r>
        <w:t xml:space="preserve">A working CA can operate a scalable advisory side-income stream without it competing for time with their primary job.</w:t>
      </w:r>
    </w:p>
    <w:p>
      <w:pPr>
        <w:pStyle w:val="ListParagraph"/>
        <w:numPr>
          <w:ilvl w:val="0"/>
          <w:numId w:val="2"/>
        </w:numPr>
        <w:spacing w:after="80"/>
      </w:pPr>
      <w:r>
        <w:rPr>
          <w:b/>
          <w:bCs/>
        </w:rPr>
        <w:t xml:space="preserve">Significant time and cost savings: </w:t>
      </w:r>
      <w:r>
        <w:t xml:space="preserve">What previously required manual document review, and later took several minutes and many model calls per report, now completes faster and at lower token cost, with the CA spending time only on final review.</w:t>
      </w:r>
    </w:p>
    <w:p>
      <w:pPr>
        <w:pStyle w:val="ListParagraph"/>
        <w:numPr>
          <w:ilvl w:val="0"/>
          <w:numId w:val="2"/>
        </w:numPr>
        <w:spacing w:after="80"/>
      </w:pPr>
      <w:r>
        <w:rPr>
          <w:b/>
          <w:bCs/>
        </w:rPr>
        <w:t xml:space="preserve">Consistent, defensible, and verifiable advice: </w:t>
      </w:r>
      <w:r>
        <w:t xml:space="preserve">Every recommendation is grounded in the client's actual document data, cites the relevant Income Tax Act section, and carries an explicit flag wherever a figure could not be confirmed against a curated or live official source.</w:t>
      </w:r>
    </w:p>
    <w:p>
      <w:pPr>
        <w:pStyle w:val="ListParagraph"/>
        <w:numPr>
          <w:ilvl w:val="0"/>
          <w:numId w:val="2"/>
        </w:numPr>
        <w:spacing w:after="80"/>
      </w:pPr>
      <w:r>
        <w:rPr>
          <w:b/>
          <w:bCs/>
        </w:rPr>
        <w:t xml:space="preserve">A knowledge base that improves itself: </w:t>
      </w:r>
      <w:r>
        <w:t xml:space="preserve">Live-search verification results are cached automatically, so the system needs less and less manual knowledge-base maintenance over time.</w:t>
      </w:r>
    </w:p>
    <w:p>
      <w:pPr>
        <w:pStyle w:val="ListParagraph"/>
        <w:numPr>
          <w:ilvl w:val="0"/>
          <w:numId w:val="2"/>
        </w:numPr>
        <w:spacing w:after="80"/>
      </w:pPr>
      <w:r>
        <w:rPr>
          <w:b/>
          <w:bCs/>
        </w:rPr>
        <w:t xml:space="preserve">Safe testing before going live: </w:t>
      </w:r>
      <w:r>
        <w:t xml:space="preserve">The dummy-payment design allowed the entire client journey to be tested safely before any real transaction was processed.</w:t>
      </w:r>
    </w:p>
    <w:p>
      <w:pPr>
        <w:pStyle w:val="ListParagraph"/>
        <w:numPr>
          <w:ilvl w:val="0"/>
          <w:numId w:val="2"/>
        </w:numPr>
        <w:spacing w:after="80"/>
      </w:pPr>
      <w:r>
        <w:rPr>
          <w:b/>
          <w:bCs/>
        </w:rPr>
        <w:t xml:space="preserve">Retained professional oversight: </w:t>
      </w:r>
      <w:r>
        <w:t xml:space="preserve">No report reaches a client without explicit CA sign-off, and the CA's own review copy is deliberately more detailed than what the client sees.</w:t>
      </w:r>
    </w:p>
    <w:p>
      <w:pPr>
        <w:pStyle w:val="ListParagraph"/>
        <w:numPr>
          <w:ilvl w:val="0"/>
          <w:numId w:val="2"/>
        </w:numPr>
        <w:spacing w:after="80"/>
      </w:pPr>
      <w:r>
        <w:rPr>
          <w:b/>
          <w:bCs/>
        </w:rPr>
        <w:t xml:space="preserve">Extensible for future services: </w:t>
      </w:r>
      <w:r>
        <w:t xml:space="preserve">The same architecture (form → documents → verified AI analysis → approval → delivery) can be extended to ITR-5/6/7, GST reconciliation, or other CA advisory services with minimal rework.</w:t>
      </w:r>
    </w:p>
    <w:p>
      <w:pPr>
        <w:spacing w:before="300"/>
      </w:pPr>
      <w:r>
        <w:rPr>
          <w:i/>
          <w:iCs/>
        </w:rPr>
        <w:t xml:space="preserve">This document summarizes the Digital ITR Consultancy automation built using n8n, an AI Agent, and a self-updating Supabase knowledge base, developed as part of the AICA (AI for Chartered Accountants) Level 2 Capstone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2026-09-01T07:37:08.426Z</dcterms:created>
  <dcterms:modified xsi:type="dcterms:W3CDTF">2026-09-01T07:37:08.450Z</dcterms:modified>
</cp:coreProperties>
</file>

<file path=docProps/custom.xml><?xml version="1.0" encoding="utf-8"?>
<Properties xmlns="http://schemas.openxmlformats.org/officeDocument/2006/custom-properties" xmlns:vt="http://schemas.openxmlformats.org/officeDocument/2006/docPropsVTypes"/>
</file>