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FD6E" w14:textId="77777777" w:rsidR="00156BCC" w:rsidRDefault="00000000">
      <w:pPr>
        <w:spacing w:after="60"/>
      </w:pPr>
      <w:r>
        <w:rPr>
          <w:rFonts w:ascii="Calibri" w:eastAsia="Calibri" w:hAnsi="Calibri" w:cs="Calibri"/>
          <w:b/>
          <w:bCs/>
          <w:color w:val="B7791F"/>
          <w:spacing w:val="20"/>
        </w:rPr>
        <w:t>PROJECT SUMMARY DOCUMENT</w:t>
      </w:r>
    </w:p>
    <w:p w14:paraId="572B4E3C" w14:textId="77777777" w:rsidR="00156BCC" w:rsidRDefault="00000000">
      <w:pPr>
        <w:spacing w:after="100"/>
      </w:pPr>
      <w:r>
        <w:rPr>
          <w:rFonts w:ascii="Cambria" w:eastAsia="Cambria" w:hAnsi="Cambria" w:cs="Cambria"/>
          <w:b/>
          <w:bCs/>
          <w:color w:val="1A2530"/>
          <w:sz w:val="52"/>
          <w:szCs w:val="52"/>
        </w:rPr>
        <w:t>Ind AS (IGAAP) vs US GAAP</w:t>
      </w:r>
    </w:p>
    <w:p w14:paraId="33653581" w14:textId="77777777" w:rsidR="00156BCC" w:rsidRDefault="00000000">
      <w:pPr>
        <w:spacing w:after="280"/>
      </w:pPr>
      <w:r>
        <w:rPr>
          <w:rFonts w:ascii="Calibri" w:eastAsia="Calibri" w:hAnsi="Calibri" w:cs="Calibri"/>
          <w:i/>
          <w:iCs/>
          <w:color w:val="5B6B7D"/>
          <w:sz w:val="26"/>
          <w:szCs w:val="26"/>
        </w:rPr>
        <w:t>A Configurable, Multi-Standard Comparison &amp; Reconciliation Tool</w:t>
      </w:r>
    </w:p>
    <w:p w14:paraId="4CC26A4F" w14:textId="77777777" w:rsidR="00156BCC" w:rsidRDefault="00156BCC">
      <w:pPr>
        <w:pBdr>
          <w:bottom w:val="single" w:sz="6" w:space="8" w:color="D9DEE4"/>
        </w:pBdr>
        <w:spacing w:after="300"/>
      </w:pPr>
    </w:p>
    <w:p w14:paraId="5975275F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1. Introduction &amp; Objective</w:t>
      </w:r>
    </w:p>
    <w:p w14:paraId="7E745D12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Companies preparing financial statements under Indian Accounting Standards (Ind AS / IGAAP) that also need to report under US GAAP face a recurring, high-effort task: identifying every point where the two frameworks diverge, computing the impact under each, and reconciling the two sets of numbers into a single, defensible bridge. This is traditionally done by hand, standard by standard, in disconnected spreadsheets.</w:t>
      </w:r>
    </w:p>
    <w:p w14:paraId="51237B84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color w:val="1A2530"/>
          <w:sz w:val="22"/>
          <w:szCs w:val="22"/>
        </w:rPr>
        <w:t xml:space="preserve">Objective: </w:t>
      </w:r>
      <w:r>
        <w:rPr>
          <w:rFonts w:ascii="Calibri" w:eastAsia="Calibri" w:hAnsi="Calibri" w:cs="Calibri"/>
          <w:color w:val="1A2530"/>
          <w:sz w:val="22"/>
          <w:szCs w:val="22"/>
        </w:rPr>
        <w:t xml:space="preserve">Build a desktop tool that takes a company's transaction-level data and Trial Balance as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input, and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produces — for a configurable set of accounting standards — the Ind AS treatment, the US GAAP treatment, a profit-first reconciliation between the two, and full financial statements in each framework's native format.</w:t>
      </w:r>
    </w:p>
    <w:p w14:paraId="59465A15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2. Problem Statement</w:t>
      </w:r>
    </w:p>
    <w:p w14:paraId="7AFABD6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Every accounting standard a company follows can diverge between Ind AS and US GAAP; each difference is typically tracked separately, often in disconnected spreadsheets with no single source of truth.</w:t>
      </w:r>
    </w:p>
    <w:p w14:paraId="004025B5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Analysts hand-build GAAP-difference schedules for each standard, then re-key the results into the financial statements — a slow, manual, error-prone process.</w:t>
      </w:r>
    </w:p>
    <w:p w14:paraId="37F340C9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 xml:space="preserve">When a chosen accounting policy changes, every downstream schedule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has to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be rebuilt and re-checked by hand, with no way to isolate just the affected area.</w:t>
      </w:r>
    </w:p>
    <w:p w14:paraId="0A09230F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Without a structured, formula-driven bridge from Ind AS profit to US GAAP profit, sign errors and double-counted adjustments are easy to miss until audit.</w:t>
      </w:r>
    </w:p>
    <w:p w14:paraId="1B92B59E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3. Proposed Solution</w:t>
      </w:r>
    </w:p>
    <w:p w14:paraId="664E2698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A single desktop application in which the user uploads one Excel workbook — a journal extract with one sheet per applicable standard, plus a Trial Balance sheet holding the company's Ind AS financial statement figures — and selects which accounting standards apply. The tool then:</w:t>
      </w:r>
    </w:p>
    <w:p w14:paraId="5F2B77E6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 xml:space="preserve">Computes each selected standard's treatment under both Ind AS and US GAAP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independently, and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shows them side by side with the profit and balance-sheet impact.</w:t>
      </w:r>
    </w:p>
    <w:p w14:paraId="21A394DD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Builds a single profit-first reconciliation table that starts at Ind AS profit after tax, lists each standard's signed adjustment, and lands exactly on US GAAP profit after tax.</w:t>
      </w:r>
    </w:p>
    <w:p w14:paraId="1B92A1C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lastRenderedPageBreak/>
        <w:t>Generates full financial statements in each framework's native presentation format — Schedule III style for Ind AS, classified format for US GAAP — including a proper Other Comprehensive Income section and Total Comprehensive Income line.</w:t>
      </w:r>
    </w:p>
    <w:p w14:paraId="635416D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Exports the reconciliation and the full financial statements, in both Ind AS and US GAAP formats, straight back to Excel.</w:t>
      </w:r>
    </w:p>
    <w:p w14:paraId="2BFC487D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4. Scope &amp; Architecture</w:t>
      </w:r>
    </w:p>
    <w:p w14:paraId="0875A0DB" w14:textId="77777777" w:rsidR="00156BCC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38976F"/>
          <w:sz w:val="24"/>
          <w:szCs w:val="24"/>
        </w:rPr>
        <w:t>4.1 Configurable, Modular Design</w:t>
      </w:r>
    </w:p>
    <w:p w14:paraId="23A8A2F0" w14:textId="48F0D50A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The tool ships today with five self-contained standard modules, each covering a standard where the Ind AS vs US GAAP difference is mechanically computable from transaction-level data</w:t>
      </w:r>
    </w:p>
    <w:p w14:paraId="177F9F91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 xml:space="preserve">Critically, the architecture is not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hard-coded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to these five. Each module owns its own calculation logic, its own treatment description, and its own contribution to the reconciliation and financial statements — nothing else in the system needs to change to add a new module. This makes the tool customizable per company and adaptable to sector-specific GAAP differences in other industries.</w:t>
      </w:r>
    </w:p>
    <w:p w14:paraId="16193101" w14:textId="77777777" w:rsidR="00156BCC" w:rsidRDefault="00000000">
      <w:pPr>
        <w:pStyle w:val="Heading2"/>
        <w:spacing w:before="260" w:after="120"/>
      </w:pPr>
      <w:r>
        <w:rPr>
          <w:rFonts w:ascii="Cambria" w:eastAsia="Cambria" w:hAnsi="Cambria" w:cs="Cambria"/>
          <w:b/>
          <w:bCs/>
          <w:color w:val="38976F"/>
          <w:sz w:val="24"/>
          <w:szCs w:val="24"/>
        </w:rPr>
        <w:t>4.2 Design Principles</w:t>
      </w:r>
    </w:p>
    <w:p w14:paraId="5F79B719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Self-contained modules — each module's logic, description and reconciliation impact are isolated from every other module.</w:t>
      </w:r>
    </w:p>
    <w:p w14:paraId="5B721BB6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Configurable per company — which modules apply, and which policy choices each one exposes, is a selection made by the user, not a code change.</w:t>
      </w:r>
    </w:p>
    <w:p w14:paraId="439E08F5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Adaptable to any industry — the same pattern extends cleanly to new standards or sector-specific requirements.</w:t>
      </w:r>
    </w:p>
    <w:p w14:paraId="20CA71CD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5. How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5860"/>
      </w:tblGrid>
      <w:tr w:rsidR="00156BCC" w14:paraId="3430C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A25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C944D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2100" w:type="dxa"/>
            <w:shd w:val="clear" w:color="auto" w:fill="1A25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204BE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5860" w:type="dxa"/>
            <w:shd w:val="clear" w:color="auto" w:fill="1A25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CE4C3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56BCC" w14:paraId="299452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5A382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1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E9A99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Upload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DE0C3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One workbook: a Trial Balance sheet plus one sheet per applicable standard module, using the built-in template.</w:t>
            </w:r>
          </w:p>
        </w:tc>
      </w:tr>
      <w:tr w:rsidR="00156BCC" w14:paraId="1EB512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B0745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2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2C0AA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Select modules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60CC8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 xml:space="preserve">Choose which standard modules apply to the </w:t>
            </w:r>
            <w:proofErr w:type="gramStart"/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company, and</w:t>
            </w:r>
            <w:proofErr w:type="gramEnd"/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 xml:space="preserve"> configure any policy choices each one exposes.</w:t>
            </w:r>
          </w:p>
        </w:tc>
      </w:tr>
      <w:tr w:rsidR="00156BCC" w14:paraId="3894AD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140F4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5A323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Calculate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04F07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Each module's Ind AS and US GAAP treatment is computed independently and cross-checked for internal consistency.</w:t>
            </w:r>
          </w:p>
        </w:tc>
      </w:tr>
      <w:tr w:rsidR="00156BCC" w14:paraId="7E7A0F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3F422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4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987F5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Review &amp; export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1800B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Profit-first reconciliation, full financial statements in each framework's native format, and Excel export of both.</w:t>
            </w:r>
          </w:p>
        </w:tc>
      </w:tr>
    </w:tbl>
    <w:p w14:paraId="2BA2EC1C" w14:textId="77777777" w:rsidR="00156BCC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38976F"/>
          <w:sz w:val="22"/>
          <w:szCs w:val="22"/>
        </w:rPr>
        <w:t xml:space="preserve">Result: </w:t>
      </w:r>
      <w:r>
        <w:rPr>
          <w:rFonts w:ascii="Calibri" w:eastAsia="Calibri" w:hAnsi="Calibri" w:cs="Calibri"/>
          <w:i/>
          <w:iCs/>
          <w:color w:val="1A2530"/>
          <w:sz w:val="22"/>
          <w:szCs w:val="22"/>
        </w:rPr>
        <w:t>Ind AS profit + Σ(adjustments) = US GAAP profit — exactly, every time, verified programmatically rather than assumed.</w:t>
      </w:r>
    </w:p>
    <w:p w14:paraId="2448AB8A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lastRenderedPageBreak/>
        <w:t>6. Technology Stack (Full-Stack Overview)</w:t>
      </w:r>
    </w:p>
    <w:p w14:paraId="12E99DE9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The application is a single-file Python desktop program — no server, no external services, and it runs entirely on the user's machine. It is organized into four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56BCC" w14:paraId="7B591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8976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B9FC7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760" w:type="dxa"/>
            <w:shd w:val="clear" w:color="auto" w:fill="38976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D6E9D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Technologies &amp; Responsibilities</w:t>
            </w:r>
          </w:p>
        </w:tc>
      </w:tr>
      <w:tr w:rsidR="00156BCC" w14:paraId="5C977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E0356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Presentation Layer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2D162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PyQt6 native desktop UI; a custom design-token system (dark theme, typography, spacing); a stepper-navigation and status-bar pattern; table-based views for statements, entries and reconciliation.</w:t>
            </w:r>
          </w:p>
        </w:tc>
      </w:tr>
      <w:tr w:rsidR="00156BCC" w14:paraId="64367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4AE73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Application / Business Logic Layer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54074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A pure-Python calculation engine, one module per standard; a uniform result schema (transactions, journal entries, reconciliation cards) shared across every module; Trial Balance + adjustments → full Ind AS / US GAAP statements; self-consistency checks (balance sheet balances, profit bridge verified).</w:t>
            </w:r>
          </w:p>
        </w:tc>
      </w:tr>
      <w:tr w:rsidR="00156BCC" w14:paraId="7BA642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6F039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Data &amp; Integration Layer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7778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 xml:space="preserve">pandas for reading, transforming and aggregating Excel data; </w:t>
            </w:r>
            <w:proofErr w:type="spellStart"/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openpyxl</w:t>
            </w:r>
            <w:proofErr w:type="spellEnd"/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 xml:space="preserve"> for Excel read/write, workbook styling and template generation; multi-sheet workbook I/O; Excel export of the reconciliation, financial statements and full workbook.</w:t>
            </w:r>
          </w:p>
        </w:tc>
      </w:tr>
      <w:tr w:rsidR="00156BCC" w14:paraId="3E5531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A0D5F" w14:textId="77777777" w:rsidR="00156BCC" w:rsidRDefault="00000000">
            <w:r>
              <w:rPr>
                <w:rFonts w:ascii="Calibri" w:eastAsia="Calibri" w:hAnsi="Calibri" w:cs="Calibri"/>
                <w:b/>
                <w:bCs/>
                <w:color w:val="1A2530"/>
                <w:sz w:val="21"/>
                <w:szCs w:val="21"/>
              </w:rPr>
              <w:t>Runtime &amp; Foundation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FB379" w14:textId="77777777" w:rsidR="00156BCC" w:rsidRDefault="00000000">
            <w:r>
              <w:rPr>
                <w:rFonts w:ascii="Calibri" w:eastAsia="Calibri" w:hAnsi="Calibri" w:cs="Calibri"/>
                <w:color w:val="1A2530"/>
                <w:sz w:val="21"/>
                <w:szCs w:val="21"/>
              </w:rPr>
              <w:t>Python 3 standard library; local desktop execution; no database; no network calls; no third-party services.</w:t>
            </w:r>
          </w:p>
        </w:tc>
      </w:tr>
    </w:tbl>
    <w:p w14:paraId="6557ED5C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7. Key Outputs &amp; Deliverables</w:t>
      </w:r>
    </w:p>
    <w:p w14:paraId="7939CCAB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Standard-by-standard treatment view — Ind AS and US GAAP side by side, with the profit impact phrased in words and the winning side highlighted.</w:t>
      </w:r>
    </w:p>
    <w:p w14:paraId="396DABB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Profit-first reconciliation table — a single bridge from Ind AS profit after tax to US GAAP profit after tax, one signed adjustment row per applied standard.</w:t>
      </w:r>
    </w:p>
    <w:p w14:paraId="3F606A9C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Full financial statements — Schedule III-style Statement of Profit and Loss and Balance Sheet for Ind AS (including Other Comprehensive Income and Total Comprehensive Income); a classified Income Statement and Balance Sheet for US GAAP.</w:t>
      </w:r>
    </w:p>
    <w:p w14:paraId="70E6BD2F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Excel export — the reconciliation and the full financial statements, in both formats, exportable back to Excel for further distribution or audit review.</w:t>
      </w:r>
    </w:p>
    <w:p w14:paraId="5EF49E19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8. Future Roadmap</w:t>
      </w:r>
    </w:p>
    <w:p w14:paraId="6961FFD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New standard modules — extend the same self-contained pattern to additional accounting standards as they become priorities.</w:t>
      </w:r>
    </w:p>
    <w:p w14:paraId="6F9FF3DA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Industry-specific customization — pre-built module sets tailored to a sector's most common GAAP differences (manufacturing, financial services, real estate, and beyond).</w:t>
      </w:r>
    </w:p>
    <w:p w14:paraId="665AE6DB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No-code configuration — let users map Trial Balance line items and choose policy options entirely through the interface.</w:t>
      </w:r>
    </w:p>
    <w:p w14:paraId="485758B8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lastRenderedPageBreak/>
        <w:t>Multi-period tracking — extend today's first-year approximations in the relevant modules to a full multi-year runoff model.</w:t>
      </w:r>
    </w:p>
    <w:p w14:paraId="67C3D241" w14:textId="77777777" w:rsidR="00156BCC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>Audit-ready export — PDF financial statement packs with disclosures, plus a full audit trail of every adjustment for external auditor review.</w:t>
      </w:r>
    </w:p>
    <w:p w14:paraId="5E65FF59" w14:textId="77777777" w:rsidR="00156BCC" w:rsidRDefault="00000000">
      <w:pPr>
        <w:pStyle w:val="Heading1"/>
        <w:pBdr>
          <w:bottom w:val="single" w:sz="8" w:space="4" w:color="38976F"/>
        </w:pBdr>
        <w:spacing w:before="360" w:after="160"/>
      </w:pPr>
      <w:r>
        <w:rPr>
          <w:rFonts w:ascii="Cambria" w:eastAsia="Cambria" w:hAnsi="Cambria" w:cs="Cambria"/>
          <w:b/>
          <w:bCs/>
          <w:color w:val="1A2530"/>
          <w:sz w:val="30"/>
          <w:szCs w:val="30"/>
        </w:rPr>
        <w:t>9. Conclusion</w:t>
      </w:r>
    </w:p>
    <w:p w14:paraId="0A01DD37" w14:textId="77777777" w:rsidR="00156BCC" w:rsidRDefault="00000000">
      <w:pPr>
        <w:spacing w:after="160" w:line="300" w:lineRule="auto"/>
      </w:pPr>
      <w:r>
        <w:rPr>
          <w:rFonts w:ascii="Calibri" w:eastAsia="Calibri" w:hAnsi="Calibri" w:cs="Calibri"/>
          <w:color w:val="1A2530"/>
          <w:sz w:val="22"/>
          <w:szCs w:val="22"/>
        </w:rPr>
        <w:t xml:space="preserve">This project replaces a manual, spreadsheet-driven reconciliation exercise with a single, configurable tool that computes both frameworks' treatment consistently, bridges profit from one basis to the other with a verified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formula, and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produces audit-ready financial statements in each framework's native format. Built as a modular, extensible platform rather than a fixed feature set, it is designed to grow — in the number of standards covered and in the </w:t>
      </w:r>
      <w:proofErr w:type="gramStart"/>
      <w:r>
        <w:rPr>
          <w:rFonts w:ascii="Calibri" w:eastAsia="Calibri" w:hAnsi="Calibri" w:cs="Calibri"/>
          <w:color w:val="1A2530"/>
          <w:sz w:val="22"/>
          <w:szCs w:val="22"/>
        </w:rPr>
        <w:t>industries</w:t>
      </w:r>
      <w:proofErr w:type="gramEnd"/>
      <w:r>
        <w:rPr>
          <w:rFonts w:ascii="Calibri" w:eastAsia="Calibri" w:hAnsi="Calibri" w:cs="Calibri"/>
          <w:color w:val="1A2530"/>
          <w:sz w:val="22"/>
          <w:szCs w:val="22"/>
        </w:rPr>
        <w:t xml:space="preserve"> it can serve — without changes to its core engine.</w:t>
      </w:r>
    </w:p>
    <w:sectPr w:rsidR="00156BCC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2F03" w14:textId="77777777" w:rsidR="008D0F77" w:rsidRDefault="008D0F77">
      <w:r>
        <w:separator/>
      </w:r>
    </w:p>
  </w:endnote>
  <w:endnote w:type="continuationSeparator" w:id="0">
    <w:p w14:paraId="7F47D3E2" w14:textId="77777777" w:rsidR="008D0F77" w:rsidRDefault="008D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8AE2" w14:textId="77777777" w:rsidR="00156BCC" w:rsidRDefault="00000000">
    <w:pPr>
      <w:jc w:val="center"/>
    </w:pPr>
    <w:r>
      <w:rPr>
        <w:rFonts w:ascii="Calibri" w:eastAsia="Calibri" w:hAnsi="Calibri" w:cs="Calibri"/>
        <w:color w:val="5B6B7D"/>
        <w:sz w:val="16"/>
        <w:szCs w:val="16"/>
      </w:rPr>
      <w:t xml:space="preserve">Page </w:t>
    </w:r>
    <w:r>
      <w:rPr>
        <w:rFonts w:ascii="Calibri" w:eastAsia="Calibri" w:hAnsi="Calibri" w:cs="Calibri"/>
        <w:color w:val="5B6B7D"/>
        <w:sz w:val="16"/>
        <w:szCs w:val="16"/>
      </w:rPr>
      <w:fldChar w:fldCharType="begin"/>
    </w:r>
    <w:r>
      <w:rPr>
        <w:rFonts w:ascii="Calibri" w:eastAsia="Calibri" w:hAnsi="Calibri" w:cs="Calibri"/>
        <w:color w:val="5B6B7D"/>
        <w:sz w:val="16"/>
        <w:szCs w:val="16"/>
      </w:rPr>
      <w:instrText>PAGE</w:instrText>
    </w:r>
    <w:r>
      <w:rPr>
        <w:rFonts w:ascii="Calibri" w:eastAsia="Calibri" w:hAnsi="Calibri" w:cs="Calibri"/>
        <w:color w:val="5B6B7D"/>
        <w:sz w:val="16"/>
        <w:szCs w:val="16"/>
      </w:rPr>
      <w:fldChar w:fldCharType="separate"/>
    </w:r>
    <w:r w:rsidR="00ED505B">
      <w:rPr>
        <w:rFonts w:ascii="Calibri" w:eastAsia="Calibri" w:hAnsi="Calibri" w:cs="Calibri"/>
        <w:noProof/>
        <w:color w:val="5B6B7D"/>
        <w:sz w:val="16"/>
        <w:szCs w:val="16"/>
      </w:rPr>
      <w:t>1</w:t>
    </w:r>
    <w:r>
      <w:rPr>
        <w:rFonts w:ascii="Calibri" w:eastAsia="Calibri" w:hAnsi="Calibri" w:cs="Calibri"/>
        <w:color w:val="5B6B7D"/>
        <w:sz w:val="16"/>
        <w:szCs w:val="16"/>
      </w:rPr>
      <w:fldChar w:fldCharType="end"/>
    </w:r>
    <w:r>
      <w:rPr>
        <w:rFonts w:ascii="Calibri" w:eastAsia="Calibri" w:hAnsi="Calibri" w:cs="Calibri"/>
        <w:color w:val="5B6B7D"/>
        <w:sz w:val="16"/>
        <w:szCs w:val="16"/>
      </w:rPr>
      <w:t xml:space="preserve"> of </w:t>
    </w:r>
    <w:r>
      <w:rPr>
        <w:rFonts w:ascii="Calibri" w:eastAsia="Calibri" w:hAnsi="Calibri" w:cs="Calibri"/>
        <w:color w:val="5B6B7D"/>
        <w:sz w:val="16"/>
        <w:szCs w:val="16"/>
      </w:rPr>
      <w:fldChar w:fldCharType="begin"/>
    </w:r>
    <w:r>
      <w:rPr>
        <w:rFonts w:ascii="Calibri" w:eastAsia="Calibri" w:hAnsi="Calibri" w:cs="Calibri"/>
        <w:color w:val="5B6B7D"/>
        <w:sz w:val="16"/>
        <w:szCs w:val="16"/>
      </w:rPr>
      <w:instrText>NUMPAGES</w:instrText>
    </w:r>
    <w:r>
      <w:rPr>
        <w:rFonts w:ascii="Calibri" w:eastAsia="Calibri" w:hAnsi="Calibri" w:cs="Calibri"/>
        <w:color w:val="5B6B7D"/>
        <w:sz w:val="16"/>
        <w:szCs w:val="16"/>
      </w:rPr>
      <w:fldChar w:fldCharType="separate"/>
    </w:r>
    <w:r w:rsidR="00ED505B">
      <w:rPr>
        <w:rFonts w:ascii="Calibri" w:eastAsia="Calibri" w:hAnsi="Calibri" w:cs="Calibri"/>
        <w:noProof/>
        <w:color w:val="5B6B7D"/>
        <w:sz w:val="16"/>
        <w:szCs w:val="16"/>
      </w:rPr>
      <w:t>2</w:t>
    </w:r>
    <w:r>
      <w:rPr>
        <w:rFonts w:ascii="Calibri" w:eastAsia="Calibri" w:hAnsi="Calibri" w:cs="Calibri"/>
        <w:color w:val="5B6B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391A" w14:textId="77777777" w:rsidR="008D0F77" w:rsidRDefault="008D0F77">
      <w:r>
        <w:separator/>
      </w:r>
    </w:p>
  </w:footnote>
  <w:footnote w:type="continuationSeparator" w:id="0">
    <w:p w14:paraId="238AB566" w14:textId="77777777" w:rsidR="008D0F77" w:rsidRDefault="008D0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42B6" w14:textId="77777777" w:rsidR="00156BCC" w:rsidRDefault="00000000">
    <w:pPr>
      <w:pBdr>
        <w:bottom w:val="single" w:sz="4" w:space="4" w:color="D9DEE4"/>
      </w:pBdr>
      <w:jc w:val="right"/>
    </w:pPr>
    <w:r>
      <w:rPr>
        <w:rFonts w:ascii="Calibri" w:eastAsia="Calibri" w:hAnsi="Calibri" w:cs="Calibri"/>
        <w:color w:val="5B6B7D"/>
        <w:sz w:val="16"/>
        <w:szCs w:val="16"/>
      </w:rPr>
      <w:t>Ind AS (IGAAP) vs US GAAP — Project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6F31"/>
    <w:multiLevelType w:val="hybridMultilevel"/>
    <w:tmpl w:val="E42A9F4C"/>
    <w:lvl w:ilvl="0" w:tplc="D026FA0E">
      <w:start w:val="1"/>
      <w:numFmt w:val="bullet"/>
      <w:lvlText w:val="•"/>
      <w:lvlJc w:val="left"/>
      <w:pPr>
        <w:ind w:left="400" w:hanging="260"/>
      </w:pPr>
    </w:lvl>
    <w:lvl w:ilvl="1" w:tplc="8AEADC72">
      <w:start w:val="1"/>
      <w:numFmt w:val="bullet"/>
      <w:lvlText w:val="–"/>
      <w:lvlJc w:val="left"/>
      <w:pPr>
        <w:ind w:left="800" w:hanging="260"/>
      </w:pPr>
    </w:lvl>
    <w:lvl w:ilvl="2" w:tplc="7A9041AC">
      <w:numFmt w:val="decimal"/>
      <w:lvlText w:val=""/>
      <w:lvlJc w:val="left"/>
    </w:lvl>
    <w:lvl w:ilvl="3" w:tplc="F2681CEA">
      <w:numFmt w:val="decimal"/>
      <w:lvlText w:val=""/>
      <w:lvlJc w:val="left"/>
    </w:lvl>
    <w:lvl w:ilvl="4" w:tplc="C5E8DDCC">
      <w:numFmt w:val="decimal"/>
      <w:lvlText w:val=""/>
      <w:lvlJc w:val="left"/>
    </w:lvl>
    <w:lvl w:ilvl="5" w:tplc="571054FA">
      <w:numFmt w:val="decimal"/>
      <w:lvlText w:val=""/>
      <w:lvlJc w:val="left"/>
    </w:lvl>
    <w:lvl w:ilvl="6" w:tplc="6F440CB0">
      <w:numFmt w:val="decimal"/>
      <w:lvlText w:val=""/>
      <w:lvlJc w:val="left"/>
    </w:lvl>
    <w:lvl w:ilvl="7" w:tplc="13146BCA">
      <w:numFmt w:val="decimal"/>
      <w:lvlText w:val=""/>
      <w:lvlJc w:val="left"/>
    </w:lvl>
    <w:lvl w:ilvl="8" w:tplc="7E4E1322">
      <w:numFmt w:val="decimal"/>
      <w:lvlText w:val=""/>
      <w:lvlJc w:val="left"/>
    </w:lvl>
  </w:abstractNum>
  <w:abstractNum w:abstractNumId="1" w15:restartNumberingAfterBreak="0">
    <w:nsid w:val="41826207"/>
    <w:multiLevelType w:val="hybridMultilevel"/>
    <w:tmpl w:val="3A262932"/>
    <w:lvl w:ilvl="0" w:tplc="CB8E9570">
      <w:start w:val="1"/>
      <w:numFmt w:val="bullet"/>
      <w:lvlText w:val="●"/>
      <w:lvlJc w:val="left"/>
      <w:pPr>
        <w:ind w:left="720" w:hanging="360"/>
      </w:pPr>
    </w:lvl>
    <w:lvl w:ilvl="1" w:tplc="5076484A">
      <w:start w:val="1"/>
      <w:numFmt w:val="bullet"/>
      <w:lvlText w:val="○"/>
      <w:lvlJc w:val="left"/>
      <w:pPr>
        <w:ind w:left="1440" w:hanging="360"/>
      </w:pPr>
    </w:lvl>
    <w:lvl w:ilvl="2" w:tplc="B168703A">
      <w:start w:val="1"/>
      <w:numFmt w:val="bullet"/>
      <w:lvlText w:val="■"/>
      <w:lvlJc w:val="left"/>
      <w:pPr>
        <w:ind w:left="2160" w:hanging="360"/>
      </w:pPr>
    </w:lvl>
    <w:lvl w:ilvl="3" w:tplc="C1602234">
      <w:start w:val="1"/>
      <w:numFmt w:val="bullet"/>
      <w:lvlText w:val="●"/>
      <w:lvlJc w:val="left"/>
      <w:pPr>
        <w:ind w:left="2880" w:hanging="360"/>
      </w:pPr>
    </w:lvl>
    <w:lvl w:ilvl="4" w:tplc="9C50301E">
      <w:start w:val="1"/>
      <w:numFmt w:val="bullet"/>
      <w:lvlText w:val="○"/>
      <w:lvlJc w:val="left"/>
      <w:pPr>
        <w:ind w:left="3600" w:hanging="360"/>
      </w:pPr>
    </w:lvl>
    <w:lvl w:ilvl="5" w:tplc="7152DA2C">
      <w:start w:val="1"/>
      <w:numFmt w:val="bullet"/>
      <w:lvlText w:val="■"/>
      <w:lvlJc w:val="left"/>
      <w:pPr>
        <w:ind w:left="4320" w:hanging="360"/>
      </w:pPr>
    </w:lvl>
    <w:lvl w:ilvl="6" w:tplc="7CD44B16">
      <w:start w:val="1"/>
      <w:numFmt w:val="bullet"/>
      <w:lvlText w:val="●"/>
      <w:lvlJc w:val="left"/>
      <w:pPr>
        <w:ind w:left="5040" w:hanging="360"/>
      </w:pPr>
    </w:lvl>
    <w:lvl w:ilvl="7" w:tplc="039A70F6">
      <w:start w:val="1"/>
      <w:numFmt w:val="bullet"/>
      <w:lvlText w:val="●"/>
      <w:lvlJc w:val="left"/>
      <w:pPr>
        <w:ind w:left="5760" w:hanging="360"/>
      </w:pPr>
    </w:lvl>
    <w:lvl w:ilvl="8" w:tplc="FB989F38">
      <w:start w:val="1"/>
      <w:numFmt w:val="bullet"/>
      <w:lvlText w:val="●"/>
      <w:lvlJc w:val="left"/>
      <w:pPr>
        <w:ind w:left="6480" w:hanging="360"/>
      </w:pPr>
    </w:lvl>
  </w:abstractNum>
  <w:num w:numId="1" w16cid:durableId="1798713837">
    <w:abstractNumId w:val="1"/>
    <w:lvlOverride w:ilvl="0">
      <w:startOverride w:val="1"/>
    </w:lvlOverride>
  </w:num>
  <w:num w:numId="2" w16cid:durableId="597837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BCC"/>
    <w:rsid w:val="00156BCC"/>
    <w:rsid w:val="008D0F77"/>
    <w:rsid w:val="00A86680"/>
    <w:rsid w:val="00ED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E951"/>
  <w15:docId w15:val="{14167E36-A241-4AAB-B9E8-F5A7EF46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srinivasan</cp:lastModifiedBy>
  <cp:revision>2</cp:revision>
  <dcterms:created xsi:type="dcterms:W3CDTF">2026-09-12T05:04:00Z</dcterms:created>
  <dcterms:modified xsi:type="dcterms:W3CDTF">2026-09-12T05:17:00Z</dcterms:modified>
</cp:coreProperties>
</file>