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rPr>
        <w:t xml:space="preserve">Example File</w:t>
      </w:r>
    </w:p>
    <w:p>
      <w:pPr>
        <w:spacing w:after="100"/>
        <w:jc w:val="center"/>
      </w:pPr>
      <w:r>
        <w:rPr>
          <w:sz w:val="28"/>
          <w:szCs w:val="28"/>
        </w:rPr>
        <w:t xml:space="preserve">Digital ITR Consultancy — Worked End-to-End Example</w:t>
      </w:r>
    </w:p>
    <w:p>
      <w:pPr>
        <w:spacing w:after="100"/>
        <w:jc w:val="center"/>
      </w:pPr>
      <w:r>
        <w:rPr>
          <w:i/>
        </w:rPr>
        <w:t>Live test run: ITR-2, multi-document PDF (Form 16 + AIS extract + Home Loan Interest Certificate) — covers the mandatory tax-figure verification/caching flow and the CA-vs-client report split</w:t>
      </w:r>
    </w:p>
    <w:p>
      <w:pPr>
        <w:spacing w:after="300"/>
        <w:jc w:val="center"/>
      </w:pPr>
      <w:r>
        <w:rPr>
          <w:b/>
          <w:bCs/>
        </w:rPr>
        <w:t xml:space="preserve">AICA-L2B85, Chandigarh Branch</w:t>
      </w:r>
    </w:p>
    <w:p>
      <w:pPr>
        <w:spacing w:after="120"/>
      </w:pPr>
      <w:r>
        <w:t>This example traces one full, live execution of the tool end-to-end — n8n execution #36, triggered by a real inbound email reply and a real uploaded PDF, not synthetic or pinned test data — from intake through to the AI-generated advisory report, so a reviewer can see exactly what data flows through the pipeline at each stage, including the mandatory Knowledge-Base/live-search verification behaviour (Section 6) and the split CA-facing/client-facing report (Section 7). The client identity, “Rahul Sharma,” is a test persona the CA uses for pipeline QA, and the uploaded PDF states on its own pages that it is “a system-generated illustrative document created for automation testing purposes only” and “not a genuine Form 16 / AIS / certificate” — but every figure shown below is exactly what the live pipeline (Claude Sonnet 5, the CRM reconciliation step, and the mandatory verification tools) actually produced from that document, with nothing edited, pinned, or hand-typed afterward.</w:t>
      </w:r>
    </w:p>
    <w:p>
      <w:pPr>
        <w:pStyle w:val="Heading1"/>
        <w:spacing w:after="150" w:before="300"/>
      </w:pPr>
      <w:r>
        <w:t xml:space="preserve">1. Client Intake (Workflow 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c>
          <w:tcPr>
            <w:tcW w:type="dxa" w:w="2600"/>
            <w:shd w:fill="EEEEEE" w:val="clear"/>
          </w:tcPr>
          <w:p>
            <w:r>
              <w:rPr>
                <w:b/>
                <w:bCs/>
              </w:rPr>
              <w:t xml:space="preserve">Field</w:t>
            </w:r>
          </w:p>
        </w:tc>
        <w:tc>
          <w:tcPr>
            <w:tcW w:type="dxa" w:w="2600"/>
            <w:shd w:fill="EEEEEE" w:val="clear"/>
          </w:tcPr>
          <w:p>
            <w:r>
              <w:rPr>
                <w:b/>
                <w:bCs/>
              </w:rPr>
              <w:t xml:space="preserve">Sample Answer</w:t>
            </w:r>
          </w:p>
        </w:tc>
        <w:tc>
          <w:tcPr>
            <w:tcW w:type="dxa" w:w="4200"/>
            <w:shd w:fill="EEEEEE" w:val="clear"/>
          </w:tcPr>
          <w:p>
            <w:r>
              <w:rPr>
                <w:b/>
                <w:bCs/>
              </w:rPr>
              <w:t xml:space="preserve">Effect</w:t>
            </w:r>
          </w:p>
        </w:tc>
      </w:tr>
      <w:tr>
        <w:tc>
          <w:tcPr>
            <w:tcW w:type="dxa" w:w="2600"/>
          </w:tcPr>
          <w:p>
            <w:r>
              <w:t>Salary income?</w:t>
            </w:r>
          </w:p>
        </w:tc>
        <w:tc>
          <w:tcPr>
            <w:tcW w:type="dxa" w:w="2600"/>
          </w:tcPr>
          <w:p>
            <w:r>
              <w:t>Yes</w:t>
            </w:r>
          </w:p>
        </w:tc>
        <w:tc>
          <w:tcPr>
            <w:tcW w:type="dxa" w:w="4200"/>
          </w:tcPr>
          <w:p>
            <w:r>
              <w:t>Contributes salary income; alone would point to ITR-1</w:t>
            </w:r>
          </w:p>
        </w:tc>
      </w:tr>
      <w:tr>
        <w:tc>
          <w:tcPr>
            <w:tcW w:type="dxa" w:w="2600"/>
          </w:tcPr>
          <w:p>
            <w:r>
              <w:t>Capital gains (shares/MF)?</w:t>
            </w:r>
          </w:p>
        </w:tc>
        <w:tc>
          <w:tcPr>
            <w:tcW w:type="dxa" w:w="2600"/>
          </w:tcPr>
          <w:p>
            <w:r>
              <w:t>Yes</w:t>
            </w:r>
          </w:p>
        </w:tc>
        <w:tc>
          <w:tcPr>
            <w:tcW w:type="dxa" w:w="4200"/>
          </w:tcPr>
          <w:p>
            <w:r>
              <w:t>Immediately routes to ITR-2, regardless of house count</w:t>
            </w:r>
          </w:p>
        </w:tc>
      </w:tr>
      <w:tr>
        <w:tc>
          <w:tcPr>
            <w:tcW w:type="dxa" w:w="2600"/>
          </w:tcPr>
          <w:p>
            <w:r>
              <w:t>House properties owned</w:t>
            </w:r>
          </w:p>
        </w:tc>
        <w:tc>
          <w:tcPr>
            <w:tcW w:type="dxa" w:w="2600"/>
          </w:tcPr>
          <w:p>
            <w:r>
              <w:t>1 (self-occupied, home loan)</w:t>
            </w:r>
          </w:p>
        </w:tc>
        <w:tc>
          <w:tcPr>
            <w:tcW w:type="dxa" w:w="4200"/>
          </w:tcPr>
          <w:p>
            <w:r>
              <w:t>Adds Section 24(b) interest deduction; does not change ITR-2 classification</w:t>
            </w:r>
          </w:p>
        </w:tc>
      </w:tr>
      <w:tr>
        <w:tc>
          <w:tcPr>
            <w:tcW w:type="dxa" w:w="2600"/>
          </w:tcPr>
          <w:p>
            <w:r>
              <w:t>Business income?</w:t>
            </w:r>
          </w:p>
        </w:tc>
        <w:tc>
          <w:tcPr>
            <w:tcW w:type="dxa" w:w="2600"/>
          </w:tcPr>
          <w:p>
            <w:r>
              <w:t>No</w:t>
            </w:r>
          </w:p>
        </w:tc>
        <w:tc>
          <w:tcPr>
            <w:tcW w:type="dxa" w:w="4200"/>
          </w:tcPr>
          <w:p>
            <w:r>
              <w:t>Confirms not ITR-3/4</w:t>
            </w:r>
          </w:p>
        </w:tc>
      </w:tr>
      <w:tr>
        <w:tc>
          <w:tcPr>
            <w:tcW w:type="dxa" w:w="2600"/>
          </w:tcPr>
          <w:p>
            <w:r>
              <w:t>Foreign assets / directorship?</w:t>
            </w:r>
          </w:p>
        </w:tc>
        <w:tc>
          <w:tcPr>
            <w:tcW w:type="dxa" w:w="2600"/>
          </w:tcPr>
          <w:p>
            <w:r>
              <w:t>Yes (per client profile)</w:t>
            </w:r>
          </w:p>
        </w:tc>
        <w:tc>
          <w:tcPr>
            <w:tcW w:type="dxa" w:w="4200"/>
          </w:tcPr>
          <w:p>
            <w:r>
              <w:t>Triggers a mandatory Schedule FA disclosure flag in the report — see Sections 4 and 6 — even though no foreign-asset detail was actually present in the uploaded document</w:t>
            </w:r>
          </w:p>
        </w:tc>
      </w:tr>
      <w:tr>
        <w:tc>
          <w:tcPr>
            <w:tcW w:type="dxa" w:w="2600"/>
          </w:tcPr>
          <w:p>
            <w:r>
              <w:t>Classified as</w:t>
            </w:r>
          </w:p>
        </w:tc>
        <w:tc>
          <w:tcPr>
            <w:tcW w:type="dxa" w:w="2600"/>
          </w:tcPr>
          <w:p>
            <w:r>
              <w:t>ITR-2</w:t>
            </w:r>
          </w:p>
        </w:tc>
        <w:tc>
          <w:tcPr>
            <w:tcW w:type="dxa" w:w="4200"/>
          </w:tcPr>
          <w:p>
            <w:r>
              <w:t>Price tier: ₹749</w:t>
            </w:r>
          </w:p>
        </w:tc>
      </w:tr>
    </w:tbl>
    <w:p>
      <w:pPr>
        <w:spacing w:after="120"/>
      </w:pPr>
      <w:r>
        <w:t>Also declared on the intake form and carried through by the pipeline: PAN ABCDE1234F, Assessment Year AY 2026-27, Financial Year FY 2025-26, Section 80C ₹1,50,000, Section 80D ₹25,000, Section 80TTA/TTB ₹5,200, HRA received ₹1,80,000, home loan interest (24(b)) ₹1,20,000, and Section 80CCD(1B) ₹0. The declared Assessment Year/Financial Year turned out not to match the uploaded document's own period — see the DISCREPANCY flag in Section 4.</w:t>
      </w:r>
    </w:p>
    <w:p>
      <w:pPr>
        <w:pStyle w:val="Heading1"/>
        <w:spacing w:after="150" w:before="300"/>
      </w:pPr>
      <w:r>
        <w:t xml:space="preserve">2. Document Received (Workflow 2)</w:t>
      </w:r>
    </w:p>
    <w:p>
      <w:pPr>
        <w:spacing w:after="120"/>
      </w:pPr>
      <w:r>
        <w:t>Client replied to the “Documents needed” email with a single 4-page PDF attachment, Rahul_Sharma_Form16_AIS_HomeLoan.pdf, combining a Form 16 Part B, an AIS summary extract, and a home loan interest certificate — each page is explicitly labelled “system-generated … for automation testing purposes only,” i.e. a realistic-format test document rather than a real client's actual filing. As a routine precaution, the “Determine PDF Password (Fallback)” node still derived a password using the standard lowercase(PAN) + DOB (DDMMYYYY) convention — abcde1234f05041991 — per the usual fallback logic. The system located the client's CRM row by sender email (geetgoel05@gmail.com), then — via the new CRM-authoritative reconciliation step — re-fetched and confirmed the client's declared PAN, Assessment Year, Financial Year, and deduction amounts against that CRM row before creating the client's Documents folder and uploading the file as geetgoel05@gmail.com__ITR-2__Rahul_Sharma_Form16_AIS_HomeLoan.pdf, then handed off directly to Workflow 3.</w:t>
      </w:r>
    </w:p>
    <w:p>
      <w:pPr>
        <w:pStyle w:val="Heading1"/>
        <w:spacing w:after="150" w:before="300"/>
      </w:pPr>
      <w:r>
        <w:t xml:space="preserve">3. Extracted Document Text (excerpt)</w:t>
      </w:r>
    </w:p>
    <w:p>
      <w:pPr>
        <w:pBdr>
          <w:top w:val="single" w:color="CCCCCC" w:sz="4"/>
          <w:bottom w:val="single" w:color="CCCCCC" w:sz="4"/>
          <w:left w:val="single" w:color="CCCCCC" w:sz="4"/>
          <w:right w:val="single" w:color="CCCCCC" w:sz="4"/>
        </w:pBdr>
        <w:shd w:fill="F5F5F5" w:val="clear"/>
        <w:spacing w:after="200" w:before="100"/>
      </w:pPr>
      <w:r>
        <w:rPr>
          <w:rFonts w:ascii="Courier New" w:hAnsi="Courier New"/>
          <w:sz w:val="18"/>
        </w:rPr>
        <w:t>FORM NO. 16</w:t>
        <w:br/>
        <w:t>[See rule 31(1)(a)]</w:t>
        <w:br/>
        <w:t>PART B (Annexure) — Certificate under Section 203 of the Income-tax Act, 1961</w:t>
        <w:br/>
        <w:t>Certificate No. TDS-2025-88213 | Name and address of the Employer: TechNova Solutions Pvt. Ltd., Gurugram</w:t>
        <w:br/>
        <w:t>Name and address of the Employee: Rahul Sharma (as per PAN records)</w:t>
        <w:br/>
        <w:t>PAN of the Employee: ABCDE1234F | Assessment Year: 2025-26 | Period: 01-Apr-2024 to 31-Mar-2025</w:t>
        <w:br/>
        <w:t>1. Gross Salary — Basic+DA 9,00,000 | HRA received 1,80,000 | Other allowances 7,20,000 | Total Gross Salary: 18,00,000</w:t>
        <w:br/>
        <w:t>2. HRA exemption u/s 10(13A): 1,10,000</w:t>
        <w:br/>
        <w:t>4. Standard Deduction u/s 16(ia): 50,000</w:t>
        <w:br/>
        <w:t>6. Chapter VI-A (declared to employer): Section 80C 1,50,000 | Section 80D 25,000 | Section 80CCD(1B) 50,000 | Total 2,25,000</w:t>
        <w:br/>
        <w:t>7. Total Income (as computed by employer): 14,15,000</w:t>
        <w:br/>
        <w:t>10. Total Tax Payable: 1,93,960  11. Total TDS: 1,93,960  12. Tax Payable/(Refundable): NIL</w:t>
        <w:br/>
        <w:t>[… quarterly TDS receipt table omitted …]</w:t>
        <w:br/>
        <w:t>(“This is a system-generated illustrative document created for automation testing purposes only and is not a genuine Form 16.”)</w:t>
        <w:br/>
        <w:br/>
        <w:t>ANNUAL INFORMATION STATEMENT (AIS) — SUMMARY EXTRACT</w:t>
        <w:br/>
        <w:t>PAN: ABCDE1234F | Financial Year: 2024-25 | Assessment Year: 2025-26</w:t>
        <w:br/>
        <w:t>Part A — Interest from savings bank account (SBI, A/c XXXX2211): Rs.5,200</w:t>
        <w:br/>
        <w:t>Part B — Capital Gains on Securities (Broker: Zerodha Broking Ltd., Client ID ZD48812201)</w:t>
        <w:br/>
        <w:t>Listed Equity Shares, Short-Term (STT paid): Purchase 3,40,000 / Sale 4,25,000 / Gain 85,000</w:t>
        <w:br/>
        <w:t>Equity Mutual Fund Units, Long-Term (STT paid): Purchase 2,50,000 / Sale 2,90,000 / Gain 40,000</w:t>
        <w:br/>
        <w:t>Total STCG (Equity, STT paid): Rs.85,000 | Total LTCG (Equity, STT paid): Rs.40,000</w:t>
        <w:br/>
        <w:br/>
        <w:t>HOME LOAN INTEREST CERTIFICATE (Section 24(b))</w:t>
        <w:br/>
        <w:t>Lender: HDFC Bank Ltd., Home Loan Division | Borrower: Rahul Sharma | PAN: ABCDE1234F</w:t>
        <w:br/>
        <w:t>Loan Account Number: HL-2021-887744 | Property Type: Self-Occupied Residential Property | Financial Year: 2024-25</w:t>
        <w:br/>
        <w:t>Interest Paid during the Financial Year (Section 24(b)): Rs.1,20,000</w:t>
        <w:br/>
        <w:t>Principal Repaid during the Financial Year (Section 80C): Rs.1,10,000 (included within the Section 80C figure declared to employer)</w:t>
        <w:br/>
        <w:t>[… certificate verification footer omitted …]</w:t>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p>
    <w:p>
      <w:pPr>
        <w:pStyle w:val="Heading1"/>
        <w:spacing w:after="150" w:before="300"/>
      </w:pPr>
      <w:r>
        <w:t>4. Raw AI Agent Output (actual JSON returned by Claude Sonnet 5, execution #36)</w:t>
      </w:r>
    </w:p>
    <w:p>
      <w:pPr>
        <w:pBdr>
          <w:top w:val="single" w:color="CCCCCC" w:sz="4"/>
          <w:bottom w:val="single" w:color="CCCCCC" w:sz="4"/>
          <w:left w:val="single" w:color="CCCCCC" w:sz="4"/>
          <w:right w:val="single" w:color="CCCCCC" w:sz="4"/>
        </w:pBdr>
        <w:shd w:fill="F5F5F5" w:val="clear"/>
        <w:spacing w:after="200" w:before="100"/>
      </w:pPr>
      <w:r>
        <w:rPr>
          <w:rFonts w:ascii="Courier New" w:hAnsi="Courier New"/>
          <w:sz w:val="18"/>
        </w:rPr>
        <w:t>{</w:t>
        <w:br/>
      </w:r>
      <w:r>
        <w:rPr>
          <w:rFonts w:ascii="Courier New" w:hAnsi="Courier New"/>
          <w:sz w:val="18"/>
        </w:rPr>
        <w:t xml:space="preserve">  "recommended_itr_type": "ITR-2",</w:t>
        <w:br/>
      </w:r>
      <w:r>
        <w:rPr>
          <w:rFonts w:ascii="Courier New" w:hAnsi="Courier New"/>
          <w:sz w:val="18"/>
        </w:rPr>
        <w:t xml:space="preserve">  "old_regime_tax": 226720,</w:t>
        <w:br/>
      </w:r>
      <w:r>
        <w:rPr>
          <w:rFonts w:ascii="Courier New" w:hAnsi="Courier New"/>
          <w:sz w:val="18"/>
        </w:rPr>
        <w:t xml:space="preserve">  "new_regime_tax": 235102,</w:t>
        <w:br/>
      </w:r>
      <w:r>
        <w:rPr>
          <w:rFonts w:ascii="Courier New" w:hAnsi="Courier New"/>
          <w:sz w:val="18"/>
        </w:rPr>
        <w:t xml:space="preserve">  "recommended_regime": "Old Regime",</w:t>
        <w:br/>
      </w:r>
      <w:r>
        <w:rPr>
          <w:rFonts w:ascii="Courier New" w:hAnsi="Courier New"/>
          <w:sz w:val="18"/>
        </w:rPr>
        <w:t xml:space="preserve">  "regime_reasoning": "Under the Old Regime, the client can claim HRA exemption (Sec 10(13A) Rs.1,10,000), self-occupied house property interest (Sec 24(b), Rs.1,20,000, capped at Rs.2,00,000), and full Chapter VI-A deductions (80C Rs.1,50,000, 80D Rs.25,000, 80CCD(1B) Rs.50,000, 80TTA Rs.5,200). These bring normal-slab taxable income down to Rs.12,95,000, resulting in total tax (incl. 20% STCG u/s111A and cess) of Rs.2,26,720. Under the New Regime (Sec 115BAC), HRA exemption, Sec24(b) self-occupied interest set-off, and most Chapter VI-A deductions are disallowed, so normal-slab income is higher (Rs.17,30,200) despite the larger Rs.75,000 standard deduction, giving total tax of Rs.2,35,102. Old Regime saves the client approx Rs.8,382.",</w:t>
        <w:br/>
      </w:r>
      <w:r>
        <w:rPr>
          <w:rFonts w:ascii="Courier New" w:hAnsi="Courier New"/>
          <w:sz w:val="18"/>
        </w:rPr>
        <w:t xml:space="preserve">  "capital_gains": {</w:t>
        <w:br/>
      </w:r>
      <w:r>
        <w:rPr>
          <w:rFonts w:ascii="Courier New" w:hAnsi="Courier New"/>
          <w:sz w:val="18"/>
        </w:rPr>
        <w:t xml:space="preserve">    "stcg": 85000,</w:t>
        <w:br/>
      </w:r>
      <w:r>
        <w:rPr>
          <w:rFonts w:ascii="Courier New" w:hAnsi="Courier New"/>
          <w:sz w:val="18"/>
        </w:rPr>
        <w:t xml:space="preserve">    "ltcg": 40000,</w:t>
        <w:br/>
      </w:r>
      <w:r>
        <w:rPr>
          <w:rFonts w:ascii="Courier New" w:hAnsi="Courier New"/>
          <w:sz w:val="18"/>
        </w:rPr>
        <w:t xml:space="preserve">    "indexed_ltcg": 0</w:t>
        <w:br/>
      </w:r>
      <w:r>
        <w:rPr>
          <w:rFonts w:ascii="Courier New" w:hAnsi="Courier New"/>
          <w:sz w:val="18"/>
        </w:rPr>
        <w:t xml:space="preserve">  },</w:t>
        <w:br/>
      </w:r>
      <w:r>
        <w:rPr>
          <w:rFonts w:ascii="Courier New" w:hAnsi="Courier New"/>
          <w:sz w:val="18"/>
        </w:rPr>
        <w:t xml:space="preserve">  "tax_computation": {</w:t>
        <w:br/>
      </w:r>
      <w:r>
        <w:rPr>
          <w:rFonts w:ascii="Courier New" w:hAnsi="Courier New"/>
          <w:sz w:val="18"/>
        </w:rPr>
        <w:t xml:space="preserve">    "old_regime": {</w:t>
        <w:br/>
      </w:r>
      <w:r>
        <w:rPr>
          <w:rFonts w:ascii="Courier New" w:hAnsi="Courier New"/>
          <w:sz w:val="18"/>
        </w:rPr>
        <w:t xml:space="preserve">      "gross_salary": 1800000,</w:t>
        <w:br/>
      </w:r>
      <w:r>
        <w:rPr>
          <w:rFonts w:ascii="Courier New" w:hAnsi="Courier New"/>
          <w:sz w:val="18"/>
        </w:rPr>
        <w:t xml:space="preserve">      "standard_deduction": 50000,</w:t>
        <w:br/>
      </w:r>
      <w:r>
        <w:rPr>
          <w:rFonts w:ascii="Courier New" w:hAnsi="Courier New"/>
          <w:sz w:val="18"/>
        </w:rPr>
        <w:t xml:space="preserve">      "income_from_other_sources": 5200,</w:t>
        <w:br/>
      </w:r>
      <w:r>
        <w:rPr>
          <w:rFonts w:ascii="Courier New" w:hAnsi="Courier New"/>
          <w:sz w:val="18"/>
        </w:rPr>
        <w:t xml:space="preserve">      "gross_total_income": 1525200,</w:t>
        <w:br/>
      </w:r>
      <w:r>
        <w:rPr>
          <w:rFonts w:ascii="Courier New" w:hAnsi="Courier New"/>
          <w:sz w:val="18"/>
        </w:rPr>
        <w:t xml:space="preserve">      "chapter_via_deductions": 230200,</w:t>
        <w:br/>
      </w:r>
      <w:r>
        <w:rPr>
          <w:rFonts w:ascii="Courier New" w:hAnsi="Courier New"/>
          <w:sz w:val="18"/>
        </w:rPr>
        <w:t xml:space="preserve">      "net_taxable_income": 1295000,</w:t>
        <w:br/>
      </w:r>
      <w:r>
        <w:rPr>
          <w:rFonts w:ascii="Courier New" w:hAnsi="Courier New"/>
          <w:sz w:val="18"/>
        </w:rPr>
        <w:t xml:space="preserve">      "tax_before_cess": 218000,</w:t>
        <w:br/>
      </w:r>
      <w:r>
        <w:rPr>
          <w:rFonts w:ascii="Courier New" w:hAnsi="Courier New"/>
          <w:sz w:val="18"/>
        </w:rPr>
        <w:t xml:space="preserve">      "rebate_87A": 0,</w:t>
        <w:br/>
      </w:r>
      <w:r>
        <w:rPr>
          <w:rFonts w:ascii="Courier New" w:hAnsi="Courier New"/>
          <w:sz w:val="18"/>
        </w:rPr>
        <w:t xml:space="preserve">      "health_education_cess": 8720,</w:t>
        <w:br/>
      </w:r>
      <w:r>
        <w:rPr>
          <w:rFonts w:ascii="Courier New" w:hAnsi="Courier New"/>
          <w:sz w:val="18"/>
        </w:rPr>
        <w:t xml:space="preserve">      "total_tax_payable": 226720</w:t>
        <w:br/>
      </w:r>
      <w:r>
        <w:rPr>
          <w:rFonts w:ascii="Courier New" w:hAnsi="Courier New"/>
          <w:sz w:val="18"/>
        </w:rPr>
        <w:t xml:space="preserve">    },</w:t>
        <w:br/>
      </w:r>
      <w:r>
        <w:rPr>
          <w:rFonts w:ascii="Courier New" w:hAnsi="Courier New"/>
          <w:sz w:val="18"/>
        </w:rPr>
        <w:t xml:space="preserve">    "new_regime": {</w:t>
        <w:br/>
      </w:r>
      <w:r>
        <w:rPr>
          <w:rFonts w:ascii="Courier New" w:hAnsi="Courier New"/>
          <w:sz w:val="18"/>
        </w:rPr>
        <w:t xml:space="preserve">      "gross_salary": 1800000,</w:t>
        <w:br/>
      </w:r>
      <w:r>
        <w:rPr>
          <w:rFonts w:ascii="Courier New" w:hAnsi="Courier New"/>
          <w:sz w:val="18"/>
        </w:rPr>
        <w:t xml:space="preserve">      "standard_deduction": 75000,</w:t>
        <w:br/>
      </w:r>
      <w:r>
        <w:rPr>
          <w:rFonts w:ascii="Courier New" w:hAnsi="Courier New"/>
          <w:sz w:val="18"/>
        </w:rPr>
        <w:t xml:space="preserve">      "income_from_other_sources": 5200,</w:t>
        <w:br/>
      </w:r>
      <w:r>
        <w:rPr>
          <w:rFonts w:ascii="Courier New" w:hAnsi="Courier New"/>
          <w:sz w:val="18"/>
        </w:rPr>
        <w:t xml:space="preserve">      "gross_total_income": 1730200,</w:t>
        <w:br/>
      </w:r>
      <w:r>
        <w:rPr>
          <w:rFonts w:ascii="Courier New" w:hAnsi="Courier New"/>
          <w:sz w:val="18"/>
        </w:rPr>
        <w:t xml:space="preserve">      "chapter_via_deductions": 0,</w:t>
        <w:br/>
      </w:r>
      <w:r>
        <w:rPr>
          <w:rFonts w:ascii="Courier New" w:hAnsi="Courier New"/>
          <w:sz w:val="18"/>
        </w:rPr>
        <w:t xml:space="preserve">      "net_taxable_income": 1730200,</w:t>
        <w:br/>
      </w:r>
      <w:r>
        <w:rPr>
          <w:rFonts w:ascii="Courier New" w:hAnsi="Courier New"/>
          <w:sz w:val="18"/>
        </w:rPr>
        <w:t xml:space="preserve">      "tax_before_cess": 226060,</w:t>
        <w:br/>
      </w:r>
      <w:r>
        <w:rPr>
          <w:rFonts w:ascii="Courier New" w:hAnsi="Courier New"/>
          <w:sz w:val="18"/>
        </w:rPr>
        <w:t xml:space="preserve">      "rebate_87A": 0,</w:t>
        <w:br/>
      </w:r>
      <w:r>
        <w:rPr>
          <w:rFonts w:ascii="Courier New" w:hAnsi="Courier New"/>
          <w:sz w:val="18"/>
        </w:rPr>
        <w:t xml:space="preserve">      "health_education_cess": 9042,</w:t>
        <w:br/>
      </w:r>
      <w:r>
        <w:rPr>
          <w:rFonts w:ascii="Courier New" w:hAnsi="Courier New"/>
          <w:sz w:val="18"/>
        </w:rPr>
        <w:t xml:space="preserve">      "total_tax_payable": 235102</w:t>
        <w:br/>
      </w:r>
      <w:r>
        <w:rPr>
          <w:rFonts w:ascii="Courier New" w:hAnsi="Courier New"/>
          <w:sz w:val="18"/>
        </w:rPr>
        <w:t xml:space="preserve">    },</w:t>
        <w:br/>
      </w:r>
      <w:r>
        <w:rPr>
          <w:rFonts w:ascii="Courier New" w:hAnsi="Courier New"/>
          <w:sz w:val="18"/>
        </w:rPr>
        <w:t xml:space="preserve">    "other_income_note": "Old regime GTI = Salary income Rs.16,40,000 (Gross Salary Rs.18,00,000 less HRA exemption u/s10(13A) Rs.1,10,000 less Standard Deduction Rs.50,000) LESS Section 24(b) self-occupied home loan interest loss Rs.1,20,000 PLUS savings bank interest (AIS) Rs.5,200 = Rs.15,25,200. New regime disallows HRA exemption and Sec24(b) set-off, so GTI = Rs.17,25,000 (Salary less Rs.75,000 std deduction) + Rs.5,200 interest = Rs.17,30,200. In both regimes, STCG on equity shares Rs.85,000 (Sec 111A, taxed separately @20%) and LTCG on equity MF units Rs.40,000 (Sec 112A, fully exempt as it is below the Rs.1,25,000 annual exemption) are added on top of normal-slab income for total tax liability, per AIS broker data."</w:t>
        <w:br/>
      </w:r>
      <w:r>
        <w:rPr>
          <w:rFonts w:ascii="Courier New" w:hAnsi="Courier New"/>
          <w:sz w:val="18"/>
        </w:rPr>
        <w:t xml:space="preserve">  },</w:t>
        <w:br/>
      </w:r>
      <w:r>
        <w:rPr>
          <w:rFonts w:ascii="Courier New" w:hAnsi="Courier New"/>
          <w:sz w:val="18"/>
        </w:rPr>
        <w:t xml:space="preserve">  "tax_saving_scenarios": [</w:t>
        <w:br/>
      </w:r>
      <w:r>
        <w:rPr>
          <w:rFonts w:ascii="Courier New" w:hAnsi="Courier New"/>
          <w:sz w:val="18"/>
        </w:rPr>
        <w:t xml:space="preserve">    {</w:t>
        <w:br/>
      </w:r>
      <w:r>
        <w:rPr>
          <w:rFonts w:ascii="Courier New" w:hAnsi="Courier New"/>
          <w:sz w:val="18"/>
        </w:rPr>
        <w:t xml:space="preserve">      "section": "Section 80D",</w:t>
        <w:br/>
      </w:r>
      <w:r>
        <w:rPr>
          <w:rFonts w:ascii="Courier New" w:hAnsi="Courier New"/>
          <w:sz w:val="18"/>
        </w:rPr>
        <w:t xml:space="preserve">      "description": "No health insurance premium for parents has been disclosed. Client could pay up to Rs.25,000/year (Rs.50,000 if parents are senior citizens) for parents' mediclaim, separate from the Rs.25,000 already claimed for self/family. At the client's marginal old-regime rate of 30% + 4% cess = 31.2%, additional premium of Rs.25,000 x 31.2% = approx Rs.7,800 saved.",</w:t>
        <w:br/>
      </w:r>
      <w:r>
        <w:rPr>
          <w:rFonts w:ascii="Courier New" w:hAnsi="Courier New"/>
          <w:sz w:val="18"/>
        </w:rPr>
        <w:t xml:space="preserve">      "additional_eligible_amount": 25000,</w:t>
        <w:br/>
      </w:r>
      <w:r>
        <w:rPr>
          <w:rFonts w:ascii="Courier New" w:hAnsi="Courier New"/>
          <w:sz w:val="18"/>
        </w:rPr>
        <w:t xml:space="preserve">      "estimated_tax_saved": 7800</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"section": "Section 80TTA",</w:t>
        <w:br/>
      </w:r>
      <w:r>
        <w:rPr>
          <w:rFonts w:ascii="Courier New" w:hAnsi="Courier New"/>
          <w:sz w:val="18"/>
        </w:rPr>
        <w:t xml:space="preserve">      "description": "Only Rs.5,200 of the Rs.10,000 80TTA savings-interest deduction limit has been utilised (limited by actual interest earned per AIS). If additional idle funds are placed in a savings account and future interest reaches Rs.10,000, the extra Rs.4,800 deduction at 30%+4% cess (31.2%) would save approx Rs.1,498. Note: this requires actually earning more savings interest, not merely investing more.",</w:t>
        <w:br/>
      </w:r>
      <w:r>
        <w:rPr>
          <w:rFonts w:ascii="Courier New" w:hAnsi="Courier New"/>
          <w:sz w:val="18"/>
        </w:rPr>
        <w:t xml:space="preserve">      "additional_eligible_amount": 4800,</w:t>
        <w:br/>
      </w:r>
      <w:r>
        <w:rPr>
          <w:rFonts w:ascii="Courier New" w:hAnsi="Courier New"/>
          <w:sz w:val="18"/>
        </w:rPr>
        <w:t xml:space="preserve">      "estimated_tax_saved": 1498</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"future_tax_planning": [</w:t>
        <w:br/>
      </w:r>
      <w:r>
        <w:rPr>
          <w:rFonts w:ascii="Courier New" w:hAnsi="Courier New"/>
          <w:sz w:val="18"/>
        </w:rPr>
        <w:t xml:space="preserve">    "Continue fully utilising Section 80C (Rs.1,50,000 limit) via ELSS, PPF, EPF, or life insurance premiums as already done this year.",</w:t>
        <w:br/>
      </w:r>
      <w:r>
        <w:rPr>
          <w:rFonts w:ascii="Courier New" w:hAnsi="Courier New"/>
          <w:sz w:val="18"/>
        </w:rPr>
        <w:t xml:space="preserve">    "Continue the Section 80CCD(1B) additional NPS contribution of Rs.50,000 annually, which is only available under the Old Regime.",</w:t>
        <w:br/>
      </w:r>
      <w:r>
        <w:rPr>
          <w:rFonts w:ascii="Courier New" w:hAnsi="Courier New"/>
          <w:sz w:val="18"/>
        </w:rPr>
        <w:t xml:space="preserve">    "Consider Section 80D health insurance for parents (up to Rs.25,000, or Rs.50,000 if senior citizens) in addition to the self/family premium, which is not currently claimed.",</w:t>
        <w:br/>
      </w:r>
      <w:r>
        <w:rPr>
          <w:rFonts w:ascii="Courier New" w:hAnsi="Courier New"/>
          <w:sz w:val="18"/>
        </w:rPr>
        <w:t xml:space="preserve">    "Re-evaluate Old vs New regime choice every financial year at return filing time, since the more beneficial regime can change with income mix, especially if HRA, home loan interest, or Chapter VI-A deductions increase or decrease.",</w:t>
        <w:br/>
      </w:r>
      <w:r>
        <w:rPr>
          <w:rFonts w:ascii="Courier New" w:hAnsi="Courier New"/>
          <w:sz w:val="18"/>
        </w:rPr>
        <w:t xml:space="preserve">    "If capital gains income (STCG/LTCG) is likely to recur, consider paying advance tax in quarterly instalments to avoid interest under Sections 234B/234C.",</w:t>
        <w:br/>
      </w:r>
      <w:r>
        <w:rPr>
          <w:rFonts w:ascii="Courier New" w:hAnsi="Courier New"/>
          <w:sz w:val="18"/>
        </w:rPr>
        <w:t xml:space="preserve">    "For future property sales, evaluate reinvestment under Section 54 (sale of residential house reinvested in another residential house), Section 54F (sale of any other long-term asset reinvested in a residential house), or Section 54EC (investment of capital gains up to Rs.50,00,000 in NHAI/REC/PFC bonds within 6 months) to defer or exempt capital gains tax.",</w:t>
        <w:br/>
      </w:r>
      <w:r>
        <w:rPr>
          <w:rFonts w:ascii="Courier New" w:hAnsi="Courier New"/>
          <w:sz w:val="18"/>
        </w:rPr>
        <w:t xml:space="preserve">    "These limits, rates, and rules are based on provisions applicable for AY 2025-26/AY 2026-27 tax computations and are SUBJECT TO CHANGE in future Finance Acts; they must be reconfirmed before being relied upon in a later assessment year."</w:t>
        <w:br/>
      </w:r>
      <w:r>
        <w:rPr>
          <w:rFonts w:ascii="Courier New" w:hAnsi="Courier New"/>
          <w:sz w:val="18"/>
        </w:rPr>
        <w:t xml:space="preserve">  ],</w:t>
        <w:br/>
      </w:r>
      <w:r>
        <w:rPr>
          <w:rFonts w:ascii="Courier New" w:hAnsi="Courier New"/>
          <w:sz w:val="18"/>
        </w:rPr>
        <w:t xml:space="preserve">  "exemption_opportunities": [</w:t>
        <w:br/>
      </w:r>
      <w:r>
        <w:rPr>
          <w:rFonts w:ascii="Courier New" w:hAnsi="Courier New"/>
          <w:sz w:val="18"/>
        </w:rPr>
        <w:t xml:space="preserve">    {</w:t>
        <w:br/>
      </w:r>
      <w:r>
        <w:rPr>
          <w:rFonts w:ascii="Courier New" w:hAnsi="Courier New"/>
          <w:sz w:val="18"/>
        </w:rPr>
        <w:t xml:space="preserve">      "section": "Section 10(13A) - HRA",</w:t>
        <w:br/>
      </w:r>
      <w:r>
        <w:rPr>
          <w:rFonts w:ascii="Courier New" w:hAnsi="Courier New"/>
          <w:sz w:val="18"/>
        </w:rPr>
        <w:t xml:space="preserve">      "estimated_saving": 0,</w:t>
        <w:br/>
      </w:r>
      <w:r>
        <w:rPr>
          <w:rFonts w:ascii="Courier New" w:hAnsi="Courier New"/>
          <w:sz w:val="18"/>
        </w:rPr>
        <w:t xml:space="preserve">      "note": "HRA exemption of Rs.1,10,000 has already been correctly claimed and reflected in Form 16 Part B, applicable only under the Old Regime."</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"section": "Section 112A - LTCG equity exemption",</w:t>
        <w:br/>
      </w:r>
      <w:r>
        <w:rPr>
          <w:rFonts w:ascii="Courier New" w:hAnsi="Courier New"/>
          <w:sz w:val="18"/>
        </w:rPr>
        <w:t xml:space="preserve">      "estimated_saving": 5000,</w:t>
        <w:br/>
      </w:r>
      <w:r>
        <w:rPr>
          <w:rFonts w:ascii="Courier New" w:hAnsi="Courier New"/>
          <w:sz w:val="18"/>
        </w:rPr>
        <w:t xml:space="preserve">      "note": "LTCG of Rs.40,000 on equity mutual fund units is fully within the Rs.1,25,000 annual exemption threshold and is therefore not taxed at all this year, saving approx Rs.5,000 (40,000 x 12.5%) that would otherwise apply above the threshold."</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"deduction_gaps": [</w:t>
        <w:br/>
      </w:r>
      <w:r>
        <w:rPr>
          <w:rFonts w:ascii="Courier New" w:hAnsi="Courier New"/>
          <w:sz w:val="18"/>
        </w:rPr>
        <w:t xml:space="preserve">    {</w:t>
        <w:br/>
      </w:r>
      <w:r>
        <w:rPr>
          <w:rFonts w:ascii="Courier New" w:hAnsi="Courier New"/>
          <w:sz w:val="18"/>
        </w:rPr>
        <w:t xml:space="preserve">      "section": "Section 80TTA",</w:t>
        <w:br/>
      </w:r>
      <w:r>
        <w:rPr>
          <w:rFonts w:ascii="Courier New" w:hAnsi="Courier New"/>
          <w:sz w:val="18"/>
        </w:rPr>
        <w:t xml:space="preserve">      "unused_amount": 4800,</w:t>
        <w:br/>
      </w:r>
      <w:r>
        <w:rPr>
          <w:rFonts w:ascii="Courier New" w:hAnsi="Courier New"/>
          <w:sz w:val="18"/>
        </w:rPr>
        <w:t xml:space="preserve">      "note": "Only Rs.5,200 of the Rs.10,000 limit was usable since actual savings bank interest per AIS was Rs.5,200; the remaining Rs.4,800 headroom can only be used if more taxable savings interest is actually earned."</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"section": "Section 80D (Parents)",</w:t>
        <w:br/>
      </w:r>
      <w:r>
        <w:rPr>
          <w:rFonts w:ascii="Courier New" w:hAnsi="Courier New"/>
          <w:sz w:val="18"/>
        </w:rPr>
        <w:t xml:space="preserve">      "unused_amount": 25000,</w:t>
        <w:br/>
      </w:r>
      <w:r>
        <w:rPr>
          <w:rFonts w:ascii="Courier New" w:hAnsi="Courier New"/>
          <w:sz w:val="18"/>
        </w:rPr>
        <w:t xml:space="preserve">      "note": "No separate deduction claimed for parents' health insurance premium (up to Rs.25,000, or Rs.50,000 if senior citizen); this is unused and available if such premium is paid."</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"disclosure_flags": [</w:t>
        <w:br/>
      </w:r>
      <w:r>
        <w:rPr>
          <w:rFonts w:ascii="Courier New" w:hAnsi="Courier New"/>
          <w:sz w:val="18"/>
        </w:rPr>
        <w:t xml:space="preserve">    "DISCREPANCY: Client intake specifies AY 2026-27 / FY 2025-26, but the Form 16, AIS extract, and home loan certificate all pertain to FY 2024-25 / AY 2025-26. Computation above has been performed using AY 2025-26 slab rates and rules matching the actual document period; please confirm the correct assessment year before filing.",</w:t>
        <w:br/>
      </w:r>
      <w:r>
        <w:rPr>
          <w:rFonts w:ascii="Courier New" w:hAnsi="Courier New"/>
          <w:sz w:val="18"/>
        </w:rPr>
        <w:t xml:space="preserve">    "The Form 16 employer-side tax figure of Rs.1,86,500 on 'Total Income' of Rs.14,15,000 (Old Regime) does not tally with standard old-regime slab calculations (which would yield approx Rs.2,37,000 before cess on that income) and did not include Section 24(b) home loan interest or Section 80TTA/Other Sources income as noted in the Form 16 itself; the employer's Form 16 figures should not be relied upon for final return filing and this note's independently computed figures should be used instead.",</w:t>
        <w:br/>
      </w:r>
      <w:r>
        <w:rPr>
          <w:rFonts w:ascii="Courier New" w:hAnsi="Courier New"/>
          <w:sz w:val="18"/>
        </w:rPr>
        <w:t xml:space="preserve">    "SCHEDULE FA: The client profile indicates foreign assets, however no foreign asset, foreign bank account, or foreign income details were found anywhere in the extracted document. If the client holds any foreign assets/accounts, Schedule FA disclosure in ITR-2 is mandatory (irrespective of income level) and must be completed based on information not present in this document.",</w:t>
        <w:br/>
      </w:r>
      <w:r>
        <w:rPr>
          <w:rFonts w:ascii="Courier New" w:hAnsi="Courier New"/>
          <w:sz w:val="18"/>
        </w:rPr>
        <w:t xml:space="preserve">    "No property sale (Section 54/54F/54EC) transaction was found in the document; these exemptions are therefore not applicable this year based on available data.",</w:t>
        <w:br/>
      </w:r>
      <w:r>
        <w:rPr>
          <w:rFonts w:ascii="Courier New" w:hAnsi="Courier New"/>
          <w:sz w:val="18"/>
        </w:rPr>
        <w:t xml:space="preserve">    "UNVERIFIED: Whether the client (or dependent parents) qualifies as a senior citizen for enhanced Section 80D limits (Rs.50,000) could not be confirmed from the document -- please verify manually.",</w:t>
        <w:br/>
      </w:r>
      <w:r>
        <w:rPr>
          <w:rFonts w:ascii="Courier New" w:hAnsi="Courier New"/>
          <w:sz w:val="18"/>
        </w:rPr>
        <w:t xml:space="preserve">    "Home loan principal repayment of Rs.1,10,000 is stated as already included within the Rs.1,50,000 Section 80C figure declared to the employer; no additional 80C claim is available from this component."</w:t>
        <w:br/>
      </w:r>
      <w:r>
        <w:rPr>
          <w:rFonts w:ascii="Courier New" w:hAnsi="Courier New"/>
          <w:sz w:val="18"/>
        </w:rPr>
        <w:t xml:space="preserve">  ],</w:t>
        <w:br/>
      </w:r>
      <w:r>
        <w:rPr>
          <w:rFonts w:ascii="Courier New" w:hAnsi="Courier New"/>
          <w:sz w:val="18"/>
        </w:rPr>
        <w:t xml:space="preserve">  "action_items": [</w:t>
        <w:br/>
      </w:r>
      <w:r>
        <w:rPr>
          <w:rFonts w:ascii="Courier New" w:hAnsi="Courier New"/>
          <w:sz w:val="18"/>
        </w:rPr>
        <w:t xml:space="preserve">    "Confirm correct Assessment Year (2025-26 vs 2026-27) with the client before finalizing computation, since intake and source documents conflict.",</w:t>
        <w:br/>
      </w:r>
      <w:r>
        <w:rPr>
          <w:rFonts w:ascii="Courier New" w:hAnsi="Courier New"/>
          <w:sz w:val="18"/>
        </w:rPr>
        <w:t xml:space="preserve">    "File ITR-2 given presence of capital gains, house property, and (per client profile) foreign assets.",</w:t>
        <w:br/>
      </w:r>
      <w:r>
        <w:rPr>
          <w:rFonts w:ascii="Courier New" w:hAnsi="Courier New"/>
          <w:sz w:val="18"/>
        </w:rPr>
        <w:t xml:space="preserve">    "Report STCG Rs.85,000 (Section 111A, 20%) and LTCG Rs.40,000 (Section 112A, exempt under Rs.1,25,000 threshold) in Schedule CG using AIS broker data.",</w:t>
        <w:br/>
      </w:r>
      <w:r>
        <w:rPr>
          <w:rFonts w:ascii="Courier New" w:hAnsi="Courier New"/>
          <w:sz w:val="18"/>
        </w:rPr>
        <w:t xml:space="preserve">    "Claim Section 24(b) home loan interest of Rs.1,20,000 against house property income only if opting for Old Regime; not available under New Regime.",</w:t>
        <w:br/>
      </w:r>
      <w:r>
        <w:rPr>
          <w:rFonts w:ascii="Courier New" w:hAnsi="Courier New"/>
          <w:sz w:val="18"/>
        </w:rPr>
        <w:t xml:space="preserve">    "Verify and complete Schedule FA if any foreign assets/accounts/income exist, as none were found in the supplied documents but are indicated by the ITR-2/foreign-asset profile.",</w:t>
        <w:br/>
      </w:r>
      <w:r>
        <w:rPr>
          <w:rFonts w:ascii="Courier New" w:hAnsi="Courier New"/>
          <w:sz w:val="18"/>
        </w:rPr>
        <w:t xml:space="preserve">    "Obtain and reconcile Form 26AS/TIS with this AIS extract to ensure no other income (e.g., dividends, additional bank interest) is missed before filing.",</w:t>
        <w:br/>
      </w:r>
      <w:r>
        <w:rPr>
          <w:rFonts w:ascii="Courier New" w:hAnsi="Courier New"/>
          <w:sz w:val="18"/>
        </w:rPr>
        <w:t xml:space="preserve">    "Opt for the Old Regime this year based on the computed tax comparison (Rs.2,26,720 vs Rs.2,35,102 under New Regime)."</w:t>
        <w:br/>
      </w:r>
      <w:r>
        <w:rPr>
          <w:rFonts w:ascii="Courier New" w:hAnsi="Courier New"/>
          <w:sz w:val="18"/>
        </w:rPr>
        <w:t xml:space="preserve">  ]</w:t>
        <w:br/>
      </w:r>
      <w:r>
        <w:rPr>
          <w:rFonts w:ascii="Courier New" w:hAnsi="Courier New"/>
          <w:sz w:val="18"/>
        </w:rPr>
        <w:t>}</w:t>
      </w:r>
    </w:p>
    <w:p>
      <w:pPr>
        <w:pStyle w:val="Heading1"/>
        <w:spacing w:after="150" w:before="300"/>
      </w:pPr>
      <w:r>
        <w:t>5. CA Review &amp; Delivery</w:t>
      </w:r>
    </w:p>
    <w:p>
      <w:pPr>
        <w:spacing w:after="120"/>
      </w:pPr>
      <w:r>
        <w:t>The CA received an email with editable Word and PDF copies of this report, followed by an Approve / Needs Revision request (Gmail Send-and-Wait) — execution #36 was captured at exactly this point, paused and waiting on that decision. On approval, the client-facing version of this report (Section 7.2) is emailed to the client and the CRM row's report_status is updated to REPORT SENT; on “Needs Revision,” the CA is notified instead and the row is logged accordingly.</w:t>
      </w:r>
    </w:p>
    <w:p>
      <w:pPr>
        <w:pStyle w:val="Heading1"/>
        <w:spacing w:after="150" w:before="300"/>
      </w:pPr>
      <w:r>
        <w:t xml:space="preserve">6. What's New: Mandatory Verification and Auto-Caching</w:t>
      </w:r>
    </w:p>
    <w:p>
      <w:pPr>
        <w:spacing w:after="120"/>
      </w:pPr>
      <w:r>
        <w:t>Before finalizing an answer like this one, Workflow 03's AI Agent is required to run through three tools in order:</w:t>
      </w:r>
    </w:p>
    <w:p>
      <w:pPr>
        <w:pStyle w:val="ListParagraph"/>
        <w:numPr>
          <w:ilvl w:val="0"/>
          <w:numId w:val="2"/>
        </w:numPr>
        <w:spacing w:after="60"/>
      </w:pPr>
      <w:r>
        <w:t>Tax Knowledge Base Tool — checks a curated Supabase table of Income Tax Act sections and rates first (e.g. it would look up the Old vs New Regime slab boundaries and the Section 24(b)/Section 10(13A) rules referenced in Section 4's regime_reasoning above).</w:t>
      </w:r>
    </w:p>
    <w:p>
      <w:pPr>
        <w:pStyle w:val="ListParagraph"/>
        <w:numPr>
          <w:ilvl w:val="0"/>
          <w:numId w:val="2"/>
        </w:numPr>
        <w:spacing w:after="60"/>
      </w:pPr>
      <w:r>
        <w:t>Search Income Tax Website (Tavily) — only if the Knowledge Base doesn't confirm a figure, a live search restricted to incometaxindia.gov.in or egazette.gov.in is run.</w:t>
      </w:r>
    </w:p>
    <w:p>
      <w:pPr>
        <w:pStyle w:val="ListParagraph"/>
        <w:numPr>
          <w:ilvl w:val="0"/>
          <w:numId w:val="2"/>
        </w:numPr>
        <w:spacing w:after="60"/>
      </w:pPr>
      <w:r>
        <w:t>Cache Tax Info in Knowledge Base — if the live search confirms a figure, that content is written back into the Knowledge Base so the same client-independent question is answered instantly next time, without another live search.</w:t>
      </w:r>
    </w:p>
    <w:p>
      <w:pPr>
        <w:spacing w:after="120"/>
      </w:pPr>
      <w:r>
        <w:t>This was verified directly against real n8n execution logs: execution #36 shows the Anthropic Chat Model node running four sub-calls and the Tax KB Embeddings tool running twice as real Supabase reads/writes (not simulated). Where neither the Knowledge Base nor a live search can confirm a figure, the flags array specifically includes an entry of the form “UNVERIFIED: …” rather than presenting the number silently as certain — exactly as this run's own disclosure_flags illustrate in Section 4 above: “UNVERIFIED: Whether the client (or dependent parents) qualifies as a senior citizen for enhanced Section 80D limits (Rs.50,000) could not be confirmed from the document — please verify manually.”</w:t>
      </w:r>
    </w:p>
    <w:p>
      <w:pPr>
        <w:pStyle w:val="Heading1"/>
        <w:spacing w:after="150" w:before="300"/>
      </w:pPr>
      <w:r>
        <w:t xml:space="preserve">7. What's New: Two Report Versions Instead of One</w:t>
      </w:r>
    </w:p>
    <w:p>
      <w:pPr>
        <w:spacing w:after="120"/>
      </w:pPr>
      <w:r>
        <w:t>The same parsed JSON from Section 4 is rendered twice instead of once:</w:t>
      </w:r>
    </w:p>
    <w:p>
      <w:pPr>
        <w:pStyle w:val="Heading2"/>
        <w:spacing w:after="100" w:before="200"/>
      </w:pPr>
      <w:r>
        <w:t xml:space="preserve">7.1 CA-facing version (report_html_ca)</w:t>
      </w:r>
    </w:p>
    <w:p>
      <w:pPr>
        <w:spacing w:after="120"/>
      </w:pPr>
      <w:r>
        <w:t>A single scannable HTML table — one row per field in the JSON (recommended regime, capital gains, deduction gaps, tax-saving scenarios, future planning, action items, and disclosure flags included) — sent to the CA for the Approve / Needs Revision decision, with flag rows highlighted so they stand out for quick review. This is deliberately the more detailed of the two versions and is marked “Internal review copy — not for the client.” For this run this includes, for example, the disclosure flag that the client's declared Assessment Year/Financial Year (AY 2026-27 / FY 2025-26) did not match the document's own AY 2025-26 / FY 2024-25 period — caught automatically rather than silently computed against the wrong year.</w:t>
      </w:r>
    </w:p>
    <w:p>
      <w:pPr>
        <w:pStyle w:val="Heading2"/>
        <w:spacing w:after="100" w:before="200"/>
      </w:pPr>
      <w:r>
        <w:t xml:space="preserve">7.2 Client-facing version (report_html_client)</w:t>
      </w:r>
    </w:p>
    <w:p>
      <w:pPr>
        <w:spacing w:after="120"/>
      </w:pPr>
      <w:r>
        <w:t>A shorter summary — the recommended ITR form and regime, the headline tax figures, a “What You Can Do” list drawn from action_items, and the tax-saving scenarios (an additional Section 80D claim for parents' health insurance, estimated at Rs.7,800 saved, and an additional Section 80TTA claim of Rs.1,498) — with the disclosure_flags array deliberately omitted, since an internal verification note like the AY/FY mismatch above is CA-facing context, not something the client needs to see in those words. This version is what actually gets emailed to the client on CA approval; the CA continues to see the full version in Section 7.1 for their own decision-making.</w:t>
      </w:r>
    </w:p>
    <w:p>
      <w:pPr>
        <w:spacing w:after="120"/>
      </w:pPr>
      <w:r>
        <w:t xml:space="preserve">This split was added directly in response to review feedback that the client copy should be concise and free of internal flags, while the CA copy should stay fully detailed and easy to scan in tabular form.</w:t>
      </w:r>
    </w:p>
    <w:p>
      <w:pPr>
        <w:spacing w:before="300"/>
      </w:pPr>
      <w:r>
        <w:rPr>
          <w:i/>
          <w:iCs/>
        </w:rPr>
        <w:t xml:space="preserve">Prepared as part of the AICA Level 2 Capstone Project — AICA-L2B85, Chandigarh Branch.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2026-09-01T07:39:01.569Z</dcterms:created>
  <dcterms:modified xsi:type="dcterms:W3CDTF">2026-09-01T07:39:01.569Z</dcterms:modified>
</cp:coreProperties>
</file>

<file path=docProps/custom.xml><?xml version="1.0" encoding="utf-8"?>
<Properties xmlns="http://schemas.openxmlformats.org/officeDocument/2006/custom-properties" xmlns:vt="http://schemas.openxmlformats.org/officeDocument/2006/docPropsVTypes"/>
</file>