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SURL Checker — Capstone Project Summary</w:t>
      </w:r>
    </w:p>
    <w:p>
      <w:r>
        <w:rPr>
          <w:b/>
        </w:rPr>
        <w:t xml:space="preserve">Project type: </w:t>
      </w:r>
      <w:r>
        <w:t>AI-assisted audit analytics / audit-support prototype</w:t>
      </w:r>
    </w:p>
    <w:p>
      <w:r>
        <w:rPr>
          <w:b/>
        </w:rPr>
        <w:t xml:space="preserve">Data status: </w:t>
      </w:r>
      <w:r>
        <w:t>Fictional training data only</w:t>
      </w:r>
    </w:p>
    <w:p>
      <w:pPr>
        <w:pStyle w:val="Heading1"/>
      </w:pPr>
      <w:r>
        <w:t>1. Problem Statement</w:t>
      </w:r>
    </w:p>
    <w:p>
      <w:r>
        <w:t>Search for unrecorded liabilities (SURL) is an audit procedure intended to help identify obligations relating to the period under audit that may not have been recorded. Relevant evidence may include subsequent disbursements, invoices received after year-end, unprocessed vouchers, unmatched receiving reports, vendor statements and ledger information. Manual comparison of multiple reports can be time-consuming and prone to missed references.</w:t>
      </w:r>
    </w:p>
    <w:p>
      <w:pPr>
        <w:pStyle w:val="Heading1"/>
      </w:pPr>
      <w:r>
        <w:t>2. Objective</w:t>
      </w:r>
    </w:p>
    <w:p>
      <w:r>
        <w:t>Build a simple tool that accepts year-end AP aging and subsequent disbursement data, optionally considers subsequent AP aging, unprocessed invoices/vouchers and trial balance, and produces a screening list of transactions requiring auditor attention.</w:t>
      </w:r>
    </w:p>
    <w:p>
      <w:pPr>
        <w:pStyle w:val="Heading1"/>
      </w:pPr>
      <w:r>
        <w:t>3. Proposed Solution</w:t>
      </w:r>
    </w:p>
    <w:p>
      <w:pPr>
        <w:pStyle w:val="ListBullet"/>
      </w:pPr>
      <w:r>
        <w:t>Read Excel/CSV populations and standardise key fields such as vendor, invoice reference, date and amount.</w:t>
      </w:r>
    </w:p>
    <w:p>
      <w:pPr>
        <w:pStyle w:val="ListBullet"/>
      </w:pPr>
      <w:r>
        <w:t>Match subsequent payments to year-end AP aging using normalised vendor and invoice reference.</w:t>
      </w:r>
    </w:p>
    <w:p>
      <w:pPr>
        <w:pStyle w:val="ListBullet"/>
      </w:pPr>
      <w:r>
        <w:t>Flag unmatched payment references, links to unprocessed invoice listings, high-value items and date buckets.</w:t>
      </w:r>
    </w:p>
    <w:p>
      <w:pPr>
        <w:pStyle w:val="ListBullet"/>
      </w:pPr>
      <w:r>
        <w:t>Provide a suggested selection list and downloadable Excel screening report.</w:t>
      </w:r>
    </w:p>
    <w:p>
      <w:pPr>
        <w:pStyle w:val="ListBullet"/>
      </w:pPr>
      <w:r>
        <w:t>Use a separate workpaper template to document invoices, purchase orders/contracts, receiving/service evidence, year-end AP/accrual/GL trace, exception amounts, follow-up and reviewer conclusion.</w:t>
      </w:r>
    </w:p>
    <w:p>
      <w:pPr>
        <w:pStyle w:val="Heading1"/>
      </w:pPr>
      <w:r>
        <w:t>4. Inputs</w:t>
      </w:r>
    </w:p>
    <w:p>
      <w:pPr>
        <w:pStyle w:val="ListBullet"/>
      </w:pPr>
      <w:r>
        <w:t>Year-end AP aging as at reporting date.</w:t>
      </w:r>
    </w:p>
    <w:p>
      <w:pPr>
        <w:pStyle w:val="ListBullet"/>
      </w:pPr>
      <w:r>
        <w:t>Subsequent bank disbursement register from after year-end through the approved search cutoff.</w:t>
      </w:r>
    </w:p>
    <w:p>
      <w:pPr>
        <w:pStyle w:val="ListBullet"/>
      </w:pPr>
      <w:r>
        <w:t>Subsequent AP aging as a complementary population.</w:t>
      </w:r>
    </w:p>
    <w:p>
      <w:pPr>
        <w:pStyle w:val="ListBullet"/>
      </w:pPr>
      <w:r>
        <w:t>Unprocessed invoices/vouchers and, where relevant, unmatched receiving reports or open PO listings.</w:t>
      </w:r>
    </w:p>
    <w:p>
      <w:pPr>
        <w:pStyle w:val="ListBullet"/>
      </w:pPr>
      <w:r>
        <w:t>Trial balance / GL details to reconcile AP and accrual accounts and search other accounts.</w:t>
      </w:r>
    </w:p>
    <w:p>
      <w:pPr>
        <w:pStyle w:val="Heading1"/>
      </w:pPr>
      <w:r>
        <w:t>5. Four Test Scenarios</w:t>
      </w:r>
    </w:p>
    <w:p>
      <w:pPr>
        <w:pStyle w:val="ListNumber"/>
      </w:pPr>
      <w:r>
        <w:t>Included / recorded: Northstar Office Supplies, invoice NS-251188, $12,500 — present in year-end AP aging and paid subsequently.</w:t>
      </w:r>
    </w:p>
    <w:p>
      <w:pPr>
        <w:pStyle w:val="ListNumber"/>
      </w:pPr>
      <w:r>
        <w:t>Potential omitted liability: Delta Electric, invoice DE-5510, $38,700 — absent from year-end AP aging, present in subsequent disbursements and unprocessed invoices, December service date.</w:t>
      </w:r>
    </w:p>
    <w:p>
      <w:pPr>
        <w:pStyle w:val="ListNumber"/>
      </w:pPr>
      <w:r>
        <w:t>Excluded / post-period: Prime Janitorial, invoice PJ-0106, $14,500 — January service after the 31-Dec-2025 year-end.</w:t>
      </w:r>
    </w:p>
    <w:p>
      <w:pPr>
        <w:pStyle w:val="ListNumber"/>
      </w:pPr>
      <w:r>
        <w:t>Unresolved / requires follow-up: Beacon Consulting, invoice BC-882, $57,000 — December milestone but acceptance and ledger evidence are needed.</w:t>
      </w:r>
    </w:p>
    <w:p>
      <w:pPr>
        <w:pStyle w:val="Heading1"/>
      </w:pPr>
      <w:r>
        <w:t>6. Sampling and Materiality</w:t>
      </w:r>
    </w:p>
    <w:p>
      <w:r>
        <w:t>The prototype uses a transparent risk-based screening helper, including unmatched references, unprocessed voucher links, individually significant thresholds and date buckets. It does not implement statistical sampling and does not claim that a sample is representative. There is no universal defensible sample-size formula based only on materiality and population count. The engagement team must approve the sample design considering the objective, population, tolerable and expected misstatement, assessed risk, other substantive evidence and firm methodology.</w:t>
      </w:r>
    </w:p>
    <w:p>
      <w:r>
        <w:t>Materiality should not be automatically increased or decreased because a payment date is later. The date window should be set based on the reporting date, audit report date, payment cycle, risk and available evidence. As the window extends, reassess the population, coverage and relevance of the evidence.</w:t>
      </w:r>
    </w:p>
    <w:p>
      <w:pPr>
        <w:pStyle w:val="Heading1"/>
      </w:pPr>
      <w:r>
        <w:t>7. Controls and Limitations</w:t>
      </w:r>
    </w:p>
    <w:p>
      <w:pPr>
        <w:pStyle w:val="ListBullet"/>
      </w:pPr>
      <w:r>
        <w:t>A subsequent payment does not by itself prove an unrecorded liability; inspect the invoice, PO/contract, receipt/service evidence and year-end AP/accrual/GL records.</w:t>
      </w:r>
    </w:p>
    <w:p>
      <w:pPr>
        <w:pStyle w:val="ListBullet"/>
      </w:pPr>
      <w:r>
        <w:t>Matching by vendor and invoice reference may miss inconsistent references, renamed vendors, partial payments, split payments, credit notes and payments covering multiple invoices.</w:t>
      </w:r>
    </w:p>
    <w:p>
      <w:pPr>
        <w:pStyle w:val="ListBullet"/>
      </w:pPr>
      <w:r>
        <w:t>Unprocessed invoices and subsequent AP aging are complementary sources; the tool should not rely only on bank disbursements.</w:t>
      </w:r>
    </w:p>
    <w:p>
      <w:pPr>
        <w:pStyle w:val="ListBullet"/>
      </w:pPr>
      <w:r>
        <w:t>All exceptions require human review and documented conclusion. Use fictional or approved redacted data only.</w:t>
      </w:r>
    </w:p>
    <w:p>
      <w:pPr>
        <w:pStyle w:val="ListBullet"/>
      </w:pPr>
      <w:r>
        <w:t>Four invoices are controlled tests of the tool's logic, not an adequate audit sample for a live engagement.</w:t>
      </w:r>
    </w:p>
    <w:p>
      <w:pPr>
        <w:pStyle w:val="Heading1"/>
      </w:pPr>
      <w:r>
        <w:t>8. Expected Deliverables</w:t>
      </w:r>
    </w:p>
    <w:p>
      <w:r>
        <w:t>Streamlit application source code, Excel workpaper template, fictional input populations, four fictional test invoices, test cases, user instructions, demonstration script and submission checklist.</w:t>
      </w:r>
    </w:p>
    <w:p>
      <w:pPr>
        <w:pStyle w:val="Heading1"/>
      </w:pPr>
      <w:r>
        <w:t>9. Conclusion</w:t>
      </w:r>
    </w:p>
    <w:p>
      <w:r>
        <w:t>The prototype demonstrates how basic data analytics can support SURL by highlighting transactions for auditor investigation and standardising workpaper documentation. It does not replace professional judgment, source-document inspection or the engagement team's audit methodology.</w:t>
      </w:r>
    </w:p>
    <w:p>
      <w:r>
        <w:br w:type="page"/>
      </w:r>
    </w:p>
    <w:p>
      <w:pPr>
        <w:pStyle w:val="Heading1"/>
      </w:pPr>
      <w:r>
        <w:t>Additional Capability: Multi-format Ingestion and OCR</w:t>
      </w:r>
    </w:p>
    <w:p>
      <w:r>
        <w:t>The updated prototype accepts CSV, Excel (XLSX/XLS), text-based PDFs, scanned PDFs, common image formats (PNG, JPG/JPEG, TIFF/TIF, BMP), DOCX and TXT. CSV/Excel are read as tables; PDF tables and text layers are extracted where available; scanned PDFs and images can use OCR through Tesseract. DOCX tables are extracted where possible.</w:t>
      </w:r>
    </w:p>
    <w:p>
      <w:r>
        <w:t>For invoice-like documents, the prototype uses conservative pattern-based heuristics to suggest vendor name, invoice number, date and amount. The full extracted text is preserved in the preview so the reviewer can compare the suggestions with the original document. These are not verified values and should not be treated as reliable without human validation.</w:t>
      </w:r>
    </w:p>
    <w:p>
      <w:r>
        <w:t>OCR setup: install the Python packages listed in app/requirements.txt and install the separate Tesseract OCR engine on the computer. See README.txt for platform-specific guidance. If Tesseract is not installed or is not available on PATH, OCR may fail even if pytesseract is installed.</w:t>
      </w:r>
    </w:p>
    <w:p>
      <w:r>
        <w:t>Limitations: unusual layouts, low-resolution or rotated scans, handwriting, complex multi-invoice files, password-protected PDFs and multi-column statements may extract poorly. The app does not automatically turn every arbitrary document into a clean, audit-ready population. For matching, the core AP aging and disbursement populations must have usable structured columns; reviewers should correct extraction errors and prepare a reviewed structured extract where needed.</w:t>
      </w:r>
    </w:p>
    <w:p>
      <w:r>
        <w:t>The project remains a capstone prototype and screening aid. It is not represented as ICAI-approved, production-grade, or a substitute for audit evidence, professional skepticism, engagement-specific materiality or the auditor’s judgment.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