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F4E78"/>
          <w:sz w:val="32"/>
        </w:rPr>
        <w:t>DHARMJEET &amp; ASSOCIATES</w:t>
        <w:br/>
      </w:r>
      <w:r>
        <w:rPr>
          <w:color w:val="595959"/>
          <w:sz w:val="19"/>
        </w:rPr>
        <w:t>CHARTERED ACCOUNTANTS | TAX &amp; AUDIT PRACTICE</w:t>
        <w:br/>
      </w:r>
    </w:p>
    <w:p>
      <w:pPr>
        <w:spacing w:after="40"/>
      </w:pPr>
    </w:p>
    <w:p>
      <w:pPr>
        <w:spacing w:before="120" w:after="40"/>
      </w:pPr>
      <w:r>
        <w:rPr>
          <w:b/>
          <w:color w:val="2E75B6"/>
          <w:sz w:val="26"/>
        </w:rPr>
        <w:t>BANK STATEMENT AUDIT &amp; SUMMARY REPORT — M/S ABC TRADERS</w:t>
      </w:r>
    </w:p>
    <w:p>
      <w:pPr>
        <w:spacing w:after="200"/>
      </w:pPr>
      <w:r>
        <w:rPr>
          <w:i/>
          <w:sz w:val="19"/>
        </w:rPr>
        <w:t>Period Covered: 2024-04-02 to 2024-05-14  |  Total Transactions: 25  |  Accounts: 1</w:t>
      </w:r>
    </w:p>
    <w:p>
      <w:pPr>
        <w:spacing w:before="240" w:after="80"/>
      </w:pPr>
      <w:r>
        <w:rPr>
          <w:b/>
          <w:color w:val="1F4E78"/>
          <w:sz w:val="28"/>
        </w:rPr>
        <w:t>1. Executive Financial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33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3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Count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Credits (Receipts)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₹1,353,450.00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12 Entries</w:t>
            </w:r>
          </w:p>
        </w:tc>
      </w:tr>
      <w:tr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Debits (Payments)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₹987,415.00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13 Entries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Net Cash Flow / Movement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₹366,035.00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Cash Deposits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₹193,000.00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4 Entries</w:t>
            </w:r>
          </w:p>
        </w:tc>
      </w:tr>
      <w:tr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Total Cash Withdrawals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₹10,000.00</w:t>
            </w:r>
          </w:p>
        </w:tc>
        <w:tc>
          <w:tcPr>
            <w:tcW w:type="dxa" w:w="33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5 Entries</w:t>
            </w:r>
          </w:p>
        </w:tc>
      </w:tr>
      <w:tr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Reconciliation Status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RECONCILED</w:t>
            </w:r>
          </w:p>
        </w:tc>
        <w:tc>
          <w:tcPr>
            <w:tcW w:type="dxa" w:w="33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0 Discrepancies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2. Section 44AD / 44ADA Presumptive Tax &amp; Audit Check</w:t>
      </w:r>
    </w:p>
    <w:p>
      <w:r>
        <w:t>• Gross Receipts / Turnover: ₹853,450.00</w:t>
        <w:br/>
        <w:t>• Digital Receipts Proportion: 77.39% (Digital: ₹660,450.00 | Cash: ₹193,000.00)</w:t>
        <w:br/>
        <w:t>• Section 44AD Assessment: Applicable Limit is ₹2.0 Cr. Status: ELIGIBLE (No Audit Under 44AB on Turnover)</w:t>
        <w:br/>
        <w:t>• Minimum 44AD Deemed Profit: ₹55,067.00 (6% on digital + 8% on cash receipts)</w:t>
        <w:br/>
        <w:t>• Section 44ADA Assessment: Applicable Limit is ₹50.0 Lakhs. Status: ELIGIBLE</w:t>
      </w:r>
    </w:p>
    <w:p>
      <w:pPr>
        <w:spacing w:before="240" w:after="80"/>
      </w:pPr>
      <w:r>
        <w:rPr>
          <w:b/>
          <w:color w:val="1F4E78"/>
          <w:sz w:val="28"/>
        </w:rPr>
        <w:t>3. Month-wise &amp; FY Quarter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60"/>
        <w:gridCol w:w="1260"/>
        <w:gridCol w:w="1260"/>
        <w:gridCol w:w="1260"/>
        <w:gridCol w:w="1260"/>
        <w:gridCol w:w="1260"/>
        <w:gridCol w:w="1260"/>
        <w:gridCol w:w="1260"/>
      </w:tblGrid>
      <w:tr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Month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FY Quarter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Receipts (Cr)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Payments (Dr)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Net Movement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Cash Deposits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Cash Withdrawals</w:t>
            </w:r>
          </w:p>
        </w:tc>
        <w:tc>
          <w:tcPr>
            <w:tcW w:type="dxa" w:w="126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</w:tr>
      <w:tr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Apr 2024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Q1 (Apr-Jun)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₹760,000.00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₹456,800.00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303,200.0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120,000.0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10,000.0</w:t>
            </w:r>
          </w:p>
        </w:tc>
        <w:tc>
          <w:tcPr>
            <w:tcW w:type="dxa" w:w="126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16</w:t>
            </w:r>
          </w:p>
        </w:tc>
      </w:tr>
      <w:tr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May 2024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Q1 (Apr-Jun)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₹593,450.00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₹530,615.00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62,835.0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73,000.0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26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9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4. Nature-wise Classification Breakdown</w:t>
      </w:r>
    </w:p>
    <w:p>
      <w:pPr>
        <w:spacing w:before="240" w:after="80"/>
      </w:pPr>
      <w:r>
        <w:rPr>
          <w:b/>
          <w:color w:val="2E75B6"/>
          <w:sz w:val="24"/>
        </w:rPr>
        <w:t>4.1 Receipts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Nature Category</w:t>
            </w:r>
          </w:p>
        </w:tc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252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Share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Refund (GST/IT/Vendor)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₹500,000.00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36.94%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Salary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₹435,000.00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32.14%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Business Receipts/Sales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₹205,000.00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15.15%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₹193,000.00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14.26%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Dividend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₹12,000.00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0.89%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Interest Income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₹8,450.00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0.62%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2E75B6"/>
          <w:sz w:val="24"/>
        </w:rPr>
        <w:t>4.2 Payments Classification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Nature Category</w:t>
            </w:r>
          </w:p>
        </w:tc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252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% Share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Debit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₹754,500.00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76.41%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Purchases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₹95,000.00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9.62%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Loan Repayment (EMI/Principal/Interest)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₹61,000.00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6.18%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Credit Card Payment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₹34,200.00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3.46%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Tax Payment (Advance Tax/Self-Assessment/TDS/GST)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₹30,000.00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3.04%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Withdrawal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₹10,000.00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1.01%</w:t>
            </w:r>
          </w:p>
        </w:tc>
      </w:tr>
      <w:tr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Household/Personal Expense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₹2,100.00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0.21%</w:t>
            </w:r>
          </w:p>
        </w:tc>
      </w:tr>
      <w:tr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Charges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₹615.00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</w:t>
            </w:r>
          </w:p>
        </w:tc>
        <w:tc>
          <w:tcPr>
            <w:tcW w:type="dxa" w:w="252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0.06%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5. Top Counterparty Summary</w:t>
      </w:r>
    </w:p>
    <w:p>
      <w:pPr>
        <w:spacing w:before="240" w:after="80"/>
      </w:pPr>
      <w:r>
        <w:rPr>
          <w:b/>
          <w:color w:val="2E75B6"/>
          <w:sz w:val="24"/>
        </w:rPr>
        <w:t>5.1 Top Counterparties (Receipts)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Party Name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First Txn Date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Last Txn Date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Mode</w:t>
            </w:r>
          </w:p>
        </w:tc>
        <w:tc>
          <w:tcPr>
            <w:tcW w:type="dxa" w:w="1440"/>
            <w:shd w:fill="2E75B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Dominant Nature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Quick Reversal Entry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₹500,000.00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RTGS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Refund (GST/IT/Vendor)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ACH CR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₹435,000.00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3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2024-04-02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2024-04-04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ACH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Salary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Self Cash Transaction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₹193,000.00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4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Client XYZ Corp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₹120,000.00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2024-04-14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2024-04-14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UPI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Business Receipts/Sales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Client ABC Consulting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₹85,000.00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UPI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Business Receipts/Sales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Dividend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₹12,000.00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2024-05-04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2024-05-04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ACH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Dividend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Interest Credit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₹8,450.00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2024-05-03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Interest Income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2E75B6"/>
          <w:sz w:val="24"/>
        </w:rPr>
        <w:t>5.2 Top Counterparties (Payments)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Party Name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Total Amount (INR)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Txn Count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First Txn Date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Last Txn Date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Primary Mode</w:t>
            </w:r>
          </w:p>
        </w:tc>
        <w:tc>
          <w:tcPr>
            <w:tcW w:type="dxa" w:w="1440"/>
            <w:shd w:fill="1F4E78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Dominant Nature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Quick Reversal Entry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₹500,000.00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2024-05-14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2024-05-14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RTGS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Debit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R987654321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₹250,000.00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2024-04-17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2024-04-17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RTGS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Debit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N123456789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₹95,000.00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2024-04-16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2024-04-16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NEFT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Purchases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Debit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₹48,500.00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2024-04-19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2024-04-19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ACH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Loan Repayment (EMI/Principal/Interest)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Credit CARD PMT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₹34,200.00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Credit Card Payment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Oltas Advance TAX PMT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₹30,000.00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2024-05-06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2024-05-06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Tax Payment (Advance Tax/Self-Assessment/TDS/GST)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Bajaj Finance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₹12,500.00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ACH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Loan Repayment (EMI/Principal/Interest)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Self Cash Transaction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₹10,000.00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2024-04-22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2024-04-22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ATM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Withdrawal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Rahul Sharma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₹4,500.00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2024-04-05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UPI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Debit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Blinkit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₹1,420.00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2024-04-09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2024-04-09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UPI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Household/Personal Expense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Swiggy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₹680.00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2024-04-08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UPI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Household/Personal Expense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Consolidated Charges + GST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₹590.00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2024-05-08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2024-05-08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Charges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SMS Alert Charges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₹25.00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OTHERS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Bank Charges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b/>
          <w:color w:val="1F4E78"/>
          <w:sz w:val="28"/>
        </w:rPr>
        <w:t>6. Red Flags &amp; Tax Scrutiny Signals Annexure</w:t>
      </w:r>
    </w:p>
    <w:p>
      <w:r>
        <w:t>A total of 7 transactions amounting to ₹1,443,000.00 have been identified for CA review based on SFT Rule 114E limits, Section 269SS/269T cash loan rules, structuring patterns, round figures, and accommodation entry signals.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Party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Nature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Debit (Dr)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Credit (Cr)</w:t>
            </w:r>
          </w:p>
        </w:tc>
        <w:tc>
          <w:tcPr>
            <w:tcW w:type="dxa" w:w="1440"/>
            <w:shd w:fill="C0000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Scrutiny Reasons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2024-04-17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R987654321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Debit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RTGS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250,000.0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Round Figure Flag: Exact multiple of ₹50,000 (₹250,000.00), High-Value Unidentified Entry: ₹250,000.00 &gt;= ₹200,000 requires CA review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2024-04-25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Self Cash Transaction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75,000.0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High Cash Deposit: ₹75,000.00 &gt;= ₹50,000 (PAN Rule 114B)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2024-04-28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Self Cash Transaction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45,000.0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Structuring Flag: Multiple cash deposits just below ₹50,000 threshold within 3 days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2024-05-01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Self Cash Transaction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48,000.0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Structuring Flag: Multiple cash deposits just below ₹50,000 threshold within 3 days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2024-05-11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Self Cash Transaction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 Deposit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CASH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25,000.0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Sec 269SS Violation Risk: Cash Loan Acceptance ₹25,000.00 &gt;= ₹20,000</w:t>
            </w:r>
          </w:p>
        </w:tc>
      </w:tr>
      <w:tr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2024-05-13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Quick Reversal Entry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Refund (GST/IT/Vendor)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RTGS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500,000.0</w:t>
            </w:r>
          </w:p>
        </w:tc>
        <w:tc>
          <w:tcPr>
            <w:tcW w:type="dxa" w:w="1440"/>
            <w:shd w:fill="F2F2F2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Round Figure Flag: Exact multiple of ₹50,000 (₹500,000.00), Potential Accommodation Entry: Credit of ₹500,000.00 followed by ₹500,000.00 debit within 1 days</w:t>
            </w:r>
          </w:p>
        </w:tc>
      </w:tr>
      <w:tr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2024-05-14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Quick Reversal Entry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Unidentified Debit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RTGS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500,000.0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sz w:val="18"/>
              </w:rPr>
              <w:t>0.0</w:t>
            </w:r>
          </w:p>
        </w:tc>
        <w:tc>
          <w:tcPr>
            <w:tcW w:type="dxa" w:w="1440"/>
            <w:shd w:fill="FFFFFF"/>
            <w:tcMar>
              <w:top w:w="80" w:type="dxa"/>
              <w:bottom w:w="80" w:type="dxa"/>
              <w:left w:w="150" w:type="dxa"/>
              <w:right w:w="150" w:type="dxa"/>
            </w:tcMar>
          </w:tcPr>
          <w:p>
            <w:pPr>
              <w:jc w:val="left"/>
            </w:pPr>
            <w:r>
              <w:rPr>
                <w:sz w:val="18"/>
              </w:rPr>
              <w:t>Round Figure Flag: Exact multiple of ₹50,000 (₹500,000.00), High-Value Unidentified Entry: ₹500,000.00 &gt;= ₹200,000 requires CA review, Potential Accommodation Entry: Debit of ₹500,000.00 follows ₹500,000.00 credit within 1 days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